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A117E" w14:textId="4207A5BF" w:rsidR="006405CE" w:rsidRPr="00B720F7" w:rsidRDefault="006405CE" w:rsidP="006405CE">
      <w:pPr>
        <w:spacing w:after="0"/>
        <w:jc w:val="center"/>
        <w:rPr>
          <w:rFonts w:ascii="Times New Roman" w:hAnsi="Times New Roman" w:cs="Times New Roman"/>
          <w:b/>
          <w:sz w:val="23"/>
          <w:szCs w:val="23"/>
          <w:u w:val="single"/>
        </w:rPr>
      </w:pPr>
      <w:bookmarkStart w:id="0" w:name="_GoBack"/>
      <w:bookmarkEnd w:id="0"/>
      <w:r w:rsidRPr="00B720F7">
        <w:rPr>
          <w:rFonts w:ascii="Times New Roman" w:hAnsi="Times New Roman" w:cs="Times New Roman"/>
          <w:b/>
          <w:sz w:val="23"/>
          <w:szCs w:val="23"/>
          <w:u w:val="single"/>
        </w:rPr>
        <w:t xml:space="preserve">INSTRUCTIONS FOR THE </w:t>
      </w:r>
      <w:r w:rsidR="00EA1764" w:rsidRPr="00B720F7">
        <w:rPr>
          <w:rFonts w:ascii="Times New Roman" w:hAnsi="Times New Roman" w:cs="Times New Roman"/>
          <w:b/>
          <w:sz w:val="23"/>
          <w:szCs w:val="23"/>
          <w:u w:val="single"/>
        </w:rPr>
        <w:t xml:space="preserve">ELIGIBLE LENDER REQUEST FOR </w:t>
      </w:r>
    </w:p>
    <w:p w14:paraId="45502E40" w14:textId="3CE8A90C" w:rsidR="00EA1764" w:rsidRPr="00B720F7" w:rsidRDefault="00EA1764" w:rsidP="006405CE">
      <w:pPr>
        <w:spacing w:after="0"/>
        <w:jc w:val="center"/>
        <w:rPr>
          <w:rFonts w:ascii="Times New Roman" w:hAnsi="Times New Roman" w:cs="Times New Roman"/>
          <w:b/>
          <w:sz w:val="23"/>
          <w:szCs w:val="23"/>
          <w:u w:val="single"/>
        </w:rPr>
      </w:pPr>
      <w:r w:rsidRPr="00B720F7">
        <w:rPr>
          <w:rFonts w:ascii="Times New Roman" w:hAnsi="Times New Roman" w:cs="Times New Roman"/>
          <w:b/>
          <w:sz w:val="23"/>
          <w:szCs w:val="23"/>
          <w:u w:val="single"/>
        </w:rPr>
        <w:t>LOAN MODIFICATION OR WAIVER FORM</w:t>
      </w:r>
    </w:p>
    <w:p w14:paraId="5151FE6F" w14:textId="64527E56" w:rsidR="00EA1764" w:rsidRPr="00B720F7" w:rsidRDefault="00EA1764" w:rsidP="00B720F7">
      <w:pPr>
        <w:spacing w:after="0"/>
        <w:jc w:val="center"/>
        <w:rPr>
          <w:rFonts w:ascii="Times New Roman" w:hAnsi="Times New Roman" w:cs="Times New Roman"/>
          <w:i/>
          <w:sz w:val="23"/>
          <w:szCs w:val="23"/>
        </w:rPr>
      </w:pPr>
      <w:r w:rsidRPr="00B720F7">
        <w:rPr>
          <w:rFonts w:ascii="Times New Roman" w:hAnsi="Times New Roman" w:cs="Times New Roman"/>
          <w:i/>
          <w:sz w:val="23"/>
          <w:szCs w:val="23"/>
        </w:rPr>
        <w:t>MAIN STREET LENDING PROGRAM</w:t>
      </w:r>
    </w:p>
    <w:p w14:paraId="4BC59211" w14:textId="77777777" w:rsidR="00B720F7" w:rsidRPr="00B720F7" w:rsidRDefault="00B720F7" w:rsidP="00B720F7">
      <w:pPr>
        <w:spacing w:after="0"/>
        <w:jc w:val="center"/>
        <w:rPr>
          <w:rFonts w:ascii="Times New Roman" w:hAnsi="Times New Roman" w:cs="Times New Roman"/>
          <w:i/>
          <w:sz w:val="23"/>
          <w:szCs w:val="23"/>
        </w:rPr>
      </w:pPr>
    </w:p>
    <w:p w14:paraId="37D88549" w14:textId="405E68BD" w:rsidR="00EA1764" w:rsidRPr="00B720F7" w:rsidRDefault="00EA1764" w:rsidP="000A109A">
      <w:pPr>
        <w:rPr>
          <w:rFonts w:ascii="Times New Roman" w:hAnsi="Times New Roman" w:cs="Times New Roman"/>
          <w:sz w:val="23"/>
          <w:szCs w:val="23"/>
        </w:rPr>
      </w:pPr>
      <w:r w:rsidRPr="00B720F7">
        <w:rPr>
          <w:rFonts w:ascii="Times New Roman" w:hAnsi="Times New Roman" w:cs="Times New Roman"/>
          <w:b/>
          <w:sz w:val="23"/>
          <w:szCs w:val="23"/>
          <w:u w:val="single"/>
        </w:rPr>
        <w:t>PURPOSE</w:t>
      </w:r>
      <w:r w:rsidRPr="00A6441D">
        <w:rPr>
          <w:rFonts w:ascii="Times New Roman" w:hAnsi="Times New Roman" w:cs="Times New Roman"/>
          <w:sz w:val="23"/>
          <w:szCs w:val="23"/>
        </w:rPr>
        <w:t xml:space="preserve">: </w:t>
      </w:r>
      <w:r w:rsidR="00A6441D" w:rsidRPr="00A6441D">
        <w:rPr>
          <w:rFonts w:ascii="Times New Roman" w:hAnsi="Times New Roman" w:cs="Times New Roman"/>
          <w:sz w:val="23"/>
          <w:szCs w:val="23"/>
        </w:rPr>
        <w:t xml:space="preserve"> </w:t>
      </w:r>
      <w:r w:rsidRPr="00B720F7">
        <w:rPr>
          <w:rFonts w:ascii="Times New Roman" w:hAnsi="Times New Roman" w:cs="Times New Roman"/>
          <w:sz w:val="23"/>
          <w:szCs w:val="23"/>
        </w:rPr>
        <w:t xml:space="preserve">Under the </w:t>
      </w:r>
      <w:r w:rsidR="00A6441D">
        <w:rPr>
          <w:rFonts w:ascii="Times New Roman" w:hAnsi="Times New Roman" w:cs="Times New Roman"/>
          <w:sz w:val="23"/>
          <w:szCs w:val="23"/>
        </w:rPr>
        <w:t xml:space="preserve">Main Street Lending Program </w:t>
      </w:r>
      <w:r w:rsidRPr="00B720F7">
        <w:rPr>
          <w:rFonts w:ascii="Times New Roman" w:hAnsi="Times New Roman" w:cs="Times New Roman"/>
          <w:sz w:val="23"/>
          <w:szCs w:val="23"/>
        </w:rPr>
        <w:t>Participation Agreement (the “Parti</w:t>
      </w:r>
      <w:r w:rsidR="00A6441D">
        <w:rPr>
          <w:rFonts w:ascii="Times New Roman" w:hAnsi="Times New Roman" w:cs="Times New Roman"/>
          <w:sz w:val="23"/>
          <w:szCs w:val="23"/>
        </w:rPr>
        <w:t>cipation Agreement”) between the</w:t>
      </w:r>
      <w:r w:rsidRPr="00B720F7">
        <w:rPr>
          <w:rFonts w:ascii="Times New Roman" w:hAnsi="Times New Roman" w:cs="Times New Roman"/>
          <w:sz w:val="23"/>
          <w:szCs w:val="23"/>
        </w:rPr>
        <w:t xml:space="preserve"> applicable eligible lender (“Eligible Lender”) and MS Facilities LLC (the “Main Street SPV”),</w:t>
      </w:r>
      <w:r w:rsidR="008563A0">
        <w:rPr>
          <w:rFonts w:ascii="Times New Roman" w:hAnsi="Times New Roman" w:cs="Times New Roman"/>
          <w:sz w:val="23"/>
          <w:szCs w:val="23"/>
        </w:rPr>
        <w:t xml:space="preserve"> subject to certain exceptions,</w:t>
      </w:r>
      <w:r w:rsidRPr="00B720F7">
        <w:rPr>
          <w:rFonts w:ascii="Times New Roman" w:hAnsi="Times New Roman" w:cs="Times New Roman"/>
          <w:sz w:val="23"/>
          <w:szCs w:val="23"/>
        </w:rPr>
        <w:t xml:space="preserve"> the Eligible Lender shall only take (or refrain from taking) </w:t>
      </w:r>
      <w:r w:rsidR="004E7482">
        <w:rPr>
          <w:rFonts w:ascii="Times New Roman" w:hAnsi="Times New Roman" w:cs="Times New Roman"/>
          <w:sz w:val="23"/>
          <w:szCs w:val="23"/>
        </w:rPr>
        <w:t>“</w:t>
      </w:r>
      <w:r w:rsidRPr="00B720F7">
        <w:rPr>
          <w:rFonts w:ascii="Times New Roman" w:hAnsi="Times New Roman" w:cs="Times New Roman"/>
          <w:sz w:val="23"/>
          <w:szCs w:val="23"/>
        </w:rPr>
        <w:t>Core Rights Acts</w:t>
      </w:r>
      <w:r w:rsidR="004E7482">
        <w:rPr>
          <w:rFonts w:ascii="Times New Roman" w:hAnsi="Times New Roman" w:cs="Times New Roman"/>
          <w:sz w:val="23"/>
          <w:szCs w:val="23"/>
        </w:rPr>
        <w:t>” (as defined in the Participation Agreement)</w:t>
      </w:r>
      <w:r w:rsidRPr="00B720F7">
        <w:rPr>
          <w:rFonts w:ascii="Times New Roman" w:hAnsi="Times New Roman" w:cs="Times New Roman"/>
          <w:sz w:val="23"/>
          <w:szCs w:val="23"/>
        </w:rPr>
        <w:t xml:space="preserve"> in accordance with the prior instructions of the Main Street SPV.  To obtain such instructions, an Eligible Lender should complete and submit the Eligible Lender Request for Loan Modification or Waiver Form </w:t>
      </w:r>
      <w:r w:rsidR="00A52DC8" w:rsidRPr="00B720F7">
        <w:rPr>
          <w:rFonts w:ascii="Times New Roman" w:hAnsi="Times New Roman" w:cs="Times New Roman"/>
          <w:sz w:val="23"/>
          <w:szCs w:val="23"/>
        </w:rPr>
        <w:t xml:space="preserve">(“Form”) </w:t>
      </w:r>
      <w:r w:rsidRPr="00B720F7">
        <w:rPr>
          <w:rFonts w:ascii="Times New Roman" w:hAnsi="Times New Roman" w:cs="Times New Roman"/>
          <w:sz w:val="23"/>
          <w:szCs w:val="23"/>
        </w:rPr>
        <w:t>in accordance with the instruction</w:t>
      </w:r>
      <w:r w:rsidR="006405CE" w:rsidRPr="00B720F7">
        <w:rPr>
          <w:rFonts w:ascii="Times New Roman" w:hAnsi="Times New Roman" w:cs="Times New Roman"/>
          <w:sz w:val="23"/>
          <w:szCs w:val="23"/>
        </w:rPr>
        <w:t>s</w:t>
      </w:r>
      <w:r w:rsidRPr="00B720F7">
        <w:rPr>
          <w:rFonts w:ascii="Times New Roman" w:hAnsi="Times New Roman" w:cs="Times New Roman"/>
          <w:sz w:val="23"/>
          <w:szCs w:val="23"/>
        </w:rPr>
        <w:t xml:space="preserve"> provided below. </w:t>
      </w:r>
    </w:p>
    <w:p w14:paraId="53D4366C" w14:textId="7198FF5E" w:rsidR="00A52DC8" w:rsidRDefault="00A6441D" w:rsidP="000A109A">
      <w:pPr>
        <w:rPr>
          <w:rFonts w:ascii="Times New Roman" w:hAnsi="Times New Roman" w:cs="Times New Roman"/>
          <w:sz w:val="23"/>
          <w:szCs w:val="23"/>
        </w:rPr>
      </w:pPr>
      <w:r>
        <w:rPr>
          <w:rFonts w:ascii="Times New Roman" w:hAnsi="Times New Roman" w:cs="Times New Roman"/>
          <w:sz w:val="23"/>
          <w:szCs w:val="23"/>
        </w:rPr>
        <w:t>The</w:t>
      </w:r>
      <w:r w:rsidR="00A52DC8" w:rsidRPr="00B720F7">
        <w:rPr>
          <w:rFonts w:ascii="Times New Roman" w:hAnsi="Times New Roman" w:cs="Times New Roman"/>
          <w:sz w:val="23"/>
          <w:szCs w:val="23"/>
        </w:rPr>
        <w:t xml:space="preserve"> Form is </w:t>
      </w:r>
      <w:r w:rsidR="006405CE" w:rsidRPr="00B720F7">
        <w:rPr>
          <w:rFonts w:ascii="Times New Roman" w:hAnsi="Times New Roman" w:cs="Times New Roman"/>
          <w:sz w:val="23"/>
          <w:szCs w:val="23"/>
        </w:rPr>
        <w:t xml:space="preserve">intended for use </w:t>
      </w:r>
      <w:r w:rsidR="00A52DC8" w:rsidRPr="00B720F7">
        <w:rPr>
          <w:rFonts w:ascii="Times New Roman" w:hAnsi="Times New Roman" w:cs="Times New Roman"/>
          <w:sz w:val="23"/>
          <w:szCs w:val="23"/>
        </w:rPr>
        <w:t xml:space="preserve">only to seek direction from the Main Street SPV on a </w:t>
      </w:r>
      <w:r w:rsidR="006405CE" w:rsidRPr="00B720F7">
        <w:rPr>
          <w:rFonts w:ascii="Times New Roman" w:hAnsi="Times New Roman" w:cs="Times New Roman"/>
          <w:sz w:val="23"/>
          <w:szCs w:val="23"/>
        </w:rPr>
        <w:t>“</w:t>
      </w:r>
      <w:r w:rsidR="00A52DC8" w:rsidRPr="00B720F7">
        <w:rPr>
          <w:rFonts w:ascii="Times New Roman" w:hAnsi="Times New Roman" w:cs="Times New Roman"/>
          <w:sz w:val="23"/>
          <w:szCs w:val="23"/>
        </w:rPr>
        <w:t>Core Rights Act</w:t>
      </w:r>
      <w:r w:rsidR="00E876D5">
        <w:rPr>
          <w:rFonts w:ascii="Times New Roman" w:hAnsi="Times New Roman" w:cs="Times New Roman"/>
          <w:sz w:val="23"/>
          <w:szCs w:val="23"/>
        </w:rPr>
        <w:t>.</w:t>
      </w:r>
      <w:r w:rsidR="006405CE" w:rsidRPr="00B720F7">
        <w:rPr>
          <w:rFonts w:ascii="Times New Roman" w:hAnsi="Times New Roman" w:cs="Times New Roman"/>
          <w:sz w:val="23"/>
          <w:szCs w:val="23"/>
        </w:rPr>
        <w:t>”</w:t>
      </w:r>
      <w:r w:rsidR="00A52DC8" w:rsidRPr="00B720F7">
        <w:rPr>
          <w:rFonts w:ascii="Times New Roman" w:hAnsi="Times New Roman" w:cs="Times New Roman"/>
          <w:sz w:val="23"/>
          <w:szCs w:val="23"/>
        </w:rPr>
        <w:t xml:space="preserve"> </w:t>
      </w:r>
      <w:r w:rsidR="006405CE" w:rsidRPr="00B720F7">
        <w:rPr>
          <w:rFonts w:ascii="Times New Roman" w:hAnsi="Times New Roman" w:cs="Times New Roman"/>
          <w:sz w:val="23"/>
          <w:szCs w:val="23"/>
        </w:rPr>
        <w:t xml:space="preserve"> </w:t>
      </w:r>
      <w:r w:rsidR="00A52DC8" w:rsidRPr="00B720F7">
        <w:rPr>
          <w:rFonts w:ascii="Times New Roman" w:hAnsi="Times New Roman" w:cs="Times New Roman"/>
          <w:sz w:val="23"/>
          <w:szCs w:val="23"/>
        </w:rPr>
        <w:t>Amendments or modifications concerning non-</w:t>
      </w:r>
      <w:r w:rsidR="006405CE" w:rsidRPr="00B720F7">
        <w:rPr>
          <w:rFonts w:ascii="Times New Roman" w:hAnsi="Times New Roman" w:cs="Times New Roman"/>
          <w:sz w:val="23"/>
          <w:szCs w:val="23"/>
        </w:rPr>
        <w:t>C</w:t>
      </w:r>
      <w:r w:rsidR="00A52DC8" w:rsidRPr="00B720F7">
        <w:rPr>
          <w:rFonts w:ascii="Times New Roman" w:hAnsi="Times New Roman" w:cs="Times New Roman"/>
          <w:sz w:val="23"/>
          <w:szCs w:val="23"/>
        </w:rPr>
        <w:t xml:space="preserve">ore </w:t>
      </w:r>
      <w:r w:rsidR="006405CE" w:rsidRPr="00B720F7">
        <w:rPr>
          <w:rFonts w:ascii="Times New Roman" w:hAnsi="Times New Roman" w:cs="Times New Roman"/>
          <w:sz w:val="23"/>
          <w:szCs w:val="23"/>
        </w:rPr>
        <w:t>R</w:t>
      </w:r>
      <w:r w:rsidR="00A52DC8" w:rsidRPr="00B720F7">
        <w:rPr>
          <w:rFonts w:ascii="Times New Roman" w:hAnsi="Times New Roman" w:cs="Times New Roman"/>
          <w:sz w:val="23"/>
          <w:szCs w:val="23"/>
        </w:rPr>
        <w:t xml:space="preserve">ights </w:t>
      </w:r>
      <w:r w:rsidR="006405CE" w:rsidRPr="00B720F7">
        <w:rPr>
          <w:rFonts w:ascii="Times New Roman" w:hAnsi="Times New Roman" w:cs="Times New Roman"/>
          <w:sz w:val="23"/>
          <w:szCs w:val="23"/>
        </w:rPr>
        <w:t xml:space="preserve">Acts </w:t>
      </w:r>
      <w:r w:rsidR="00A52DC8" w:rsidRPr="00B720F7">
        <w:rPr>
          <w:rFonts w:ascii="Times New Roman" w:hAnsi="Times New Roman" w:cs="Times New Roman"/>
          <w:sz w:val="23"/>
          <w:szCs w:val="23"/>
        </w:rPr>
        <w:t xml:space="preserve">are </w:t>
      </w:r>
      <w:r w:rsidR="006405CE" w:rsidRPr="00B720F7">
        <w:rPr>
          <w:rFonts w:ascii="Times New Roman" w:hAnsi="Times New Roman" w:cs="Times New Roman"/>
          <w:sz w:val="23"/>
          <w:szCs w:val="23"/>
        </w:rPr>
        <w:t>within the discretion of</w:t>
      </w:r>
      <w:r w:rsidR="00A52DC8" w:rsidRPr="00B720F7">
        <w:rPr>
          <w:rFonts w:ascii="Times New Roman" w:hAnsi="Times New Roman" w:cs="Times New Roman"/>
          <w:sz w:val="23"/>
          <w:szCs w:val="23"/>
        </w:rPr>
        <w:t xml:space="preserve"> the Eligible Lender</w:t>
      </w:r>
      <w:r w:rsidR="00E876D5">
        <w:rPr>
          <w:rFonts w:ascii="Times New Roman" w:hAnsi="Times New Roman" w:cs="Times New Roman"/>
          <w:sz w:val="23"/>
          <w:szCs w:val="23"/>
        </w:rPr>
        <w:t>, although</w:t>
      </w:r>
      <w:r w:rsidR="004E7482">
        <w:rPr>
          <w:rFonts w:ascii="Times New Roman" w:hAnsi="Times New Roman" w:cs="Times New Roman"/>
          <w:sz w:val="23"/>
          <w:szCs w:val="23"/>
        </w:rPr>
        <w:t xml:space="preserve"> certain such acts may trigger after-the-fact notification requirements under the Participation Agreement</w:t>
      </w:r>
      <w:r w:rsidR="00A52DC8" w:rsidRPr="00B720F7">
        <w:rPr>
          <w:rFonts w:ascii="Times New Roman" w:hAnsi="Times New Roman" w:cs="Times New Roman"/>
          <w:sz w:val="23"/>
          <w:szCs w:val="23"/>
        </w:rPr>
        <w:t>.  This Form is not to be used if the relevant loan participation has been elevated</w:t>
      </w:r>
      <w:r w:rsidR="006405CE" w:rsidRPr="00B720F7">
        <w:rPr>
          <w:rFonts w:ascii="Times New Roman" w:hAnsi="Times New Roman" w:cs="Times New Roman"/>
          <w:sz w:val="23"/>
          <w:szCs w:val="23"/>
        </w:rPr>
        <w:t xml:space="preserve"> into an assignment by the Main Street SPV</w:t>
      </w:r>
      <w:r w:rsidR="00A52DC8" w:rsidRPr="00B720F7">
        <w:rPr>
          <w:rFonts w:ascii="Times New Roman" w:hAnsi="Times New Roman" w:cs="Times New Roman"/>
          <w:sz w:val="23"/>
          <w:szCs w:val="23"/>
        </w:rPr>
        <w:t xml:space="preserve">. </w:t>
      </w:r>
    </w:p>
    <w:p w14:paraId="57DE0A54" w14:textId="286B7E3B" w:rsidR="008563A0" w:rsidRPr="00B720F7" w:rsidRDefault="008563A0" w:rsidP="000A109A">
      <w:pPr>
        <w:rPr>
          <w:rFonts w:ascii="Times New Roman" w:hAnsi="Times New Roman" w:cs="Times New Roman"/>
          <w:sz w:val="23"/>
          <w:szCs w:val="23"/>
        </w:rPr>
      </w:pPr>
      <w:r w:rsidRPr="008563A0">
        <w:rPr>
          <w:rFonts w:ascii="Times New Roman" w:hAnsi="Times New Roman" w:cs="Times New Roman"/>
          <w:sz w:val="23"/>
          <w:szCs w:val="23"/>
        </w:rPr>
        <w:t xml:space="preserve">These instructions shall act as a request by the Main Street SPV to the Seller (i.e., the Eligible Lender) under Section 9.1 of the Participation Agreement to submit the Form as directed herein.  </w:t>
      </w:r>
    </w:p>
    <w:p w14:paraId="2D6BC8F0" w14:textId="029D5955" w:rsidR="00A52DC8" w:rsidRPr="00B720F7" w:rsidRDefault="00A52DC8" w:rsidP="000A109A">
      <w:pPr>
        <w:rPr>
          <w:rFonts w:ascii="Times New Roman" w:hAnsi="Times New Roman" w:cs="Times New Roman"/>
          <w:sz w:val="23"/>
          <w:szCs w:val="23"/>
        </w:rPr>
      </w:pPr>
      <w:r w:rsidRPr="00B720F7">
        <w:rPr>
          <w:rFonts w:ascii="Times New Roman" w:hAnsi="Times New Roman" w:cs="Times New Roman"/>
          <w:sz w:val="23"/>
          <w:szCs w:val="23"/>
        </w:rPr>
        <w:t>If</w:t>
      </w:r>
      <w:r w:rsidR="00E26BE9" w:rsidRPr="00B720F7">
        <w:rPr>
          <w:rFonts w:ascii="Times New Roman" w:hAnsi="Times New Roman" w:cs="Times New Roman"/>
          <w:sz w:val="23"/>
          <w:szCs w:val="23"/>
        </w:rPr>
        <w:t xml:space="preserve"> you are uncertain as to whether </w:t>
      </w:r>
      <w:r w:rsidR="006405CE" w:rsidRPr="00B720F7">
        <w:rPr>
          <w:rFonts w:ascii="Times New Roman" w:hAnsi="Times New Roman" w:cs="Times New Roman"/>
          <w:sz w:val="23"/>
          <w:szCs w:val="23"/>
        </w:rPr>
        <w:t xml:space="preserve">an </w:t>
      </w:r>
      <w:r w:rsidR="00E26BE9" w:rsidRPr="00B720F7">
        <w:rPr>
          <w:rFonts w:ascii="Times New Roman" w:hAnsi="Times New Roman" w:cs="Times New Roman"/>
          <w:sz w:val="23"/>
          <w:szCs w:val="23"/>
        </w:rPr>
        <w:t xml:space="preserve">action constitutes a Core Rights Act, </w:t>
      </w:r>
      <w:r w:rsidR="00A6441D">
        <w:rPr>
          <w:rFonts w:ascii="Times New Roman" w:hAnsi="Times New Roman" w:cs="Times New Roman"/>
          <w:sz w:val="23"/>
          <w:szCs w:val="23"/>
        </w:rPr>
        <w:t>you can complete and submit the</w:t>
      </w:r>
      <w:r w:rsidR="00E26BE9" w:rsidRPr="00B720F7">
        <w:rPr>
          <w:rFonts w:ascii="Times New Roman" w:hAnsi="Times New Roman" w:cs="Times New Roman"/>
          <w:sz w:val="23"/>
          <w:szCs w:val="23"/>
        </w:rPr>
        <w:t xml:space="preserve"> Form</w:t>
      </w:r>
      <w:r w:rsidR="00A6441D">
        <w:rPr>
          <w:rFonts w:ascii="Times New Roman" w:hAnsi="Times New Roman" w:cs="Times New Roman"/>
          <w:sz w:val="23"/>
          <w:szCs w:val="23"/>
        </w:rPr>
        <w:t>,</w:t>
      </w:r>
      <w:r w:rsidR="00E26BE9" w:rsidRPr="00B720F7">
        <w:rPr>
          <w:rFonts w:ascii="Times New Roman" w:hAnsi="Times New Roman" w:cs="Times New Roman"/>
          <w:sz w:val="23"/>
          <w:szCs w:val="23"/>
        </w:rPr>
        <w:t xml:space="preserve"> and the Main Street SPV will evaluate the request.  </w:t>
      </w:r>
    </w:p>
    <w:p w14:paraId="0FCE1F9F" w14:textId="1B087655" w:rsidR="00EA1764" w:rsidRPr="00B720F7" w:rsidRDefault="00EA1764" w:rsidP="000A109A">
      <w:pPr>
        <w:rPr>
          <w:rFonts w:ascii="Times New Roman" w:hAnsi="Times New Roman" w:cs="Times New Roman"/>
          <w:b/>
          <w:sz w:val="23"/>
          <w:szCs w:val="23"/>
          <w:u w:val="single"/>
        </w:rPr>
      </w:pPr>
      <w:r w:rsidRPr="00B720F7">
        <w:rPr>
          <w:rFonts w:ascii="Times New Roman" w:hAnsi="Times New Roman" w:cs="Times New Roman"/>
          <w:b/>
          <w:sz w:val="23"/>
          <w:szCs w:val="23"/>
          <w:u w:val="single"/>
        </w:rPr>
        <w:t>COMPLETION INSTRUCTIONS:</w:t>
      </w:r>
    </w:p>
    <w:p w14:paraId="336FE167" w14:textId="5BB85AE4" w:rsidR="00AC7700" w:rsidRPr="00B720F7" w:rsidRDefault="00624495">
      <w:pPr>
        <w:pStyle w:val="ListParagraph"/>
        <w:numPr>
          <w:ilvl w:val="0"/>
          <w:numId w:val="1"/>
        </w:numPr>
        <w:rPr>
          <w:rFonts w:ascii="Times New Roman" w:hAnsi="Times New Roman" w:cs="Times New Roman"/>
          <w:sz w:val="23"/>
          <w:szCs w:val="23"/>
          <w:u w:val="single"/>
        </w:rPr>
      </w:pPr>
      <w:r w:rsidRPr="00B720F7">
        <w:rPr>
          <w:rFonts w:ascii="Times New Roman" w:hAnsi="Times New Roman" w:cs="Times New Roman"/>
          <w:sz w:val="23"/>
          <w:szCs w:val="23"/>
        </w:rPr>
        <w:t xml:space="preserve">Provide the Main Street </w:t>
      </w:r>
      <w:r w:rsidR="00D25F34" w:rsidRPr="00B720F7">
        <w:rPr>
          <w:rFonts w:ascii="Times New Roman" w:hAnsi="Times New Roman" w:cs="Times New Roman"/>
          <w:sz w:val="23"/>
          <w:szCs w:val="23"/>
        </w:rPr>
        <w:t>Participation ID</w:t>
      </w:r>
      <w:r w:rsidRPr="00B720F7">
        <w:rPr>
          <w:rFonts w:ascii="Times New Roman" w:hAnsi="Times New Roman" w:cs="Times New Roman"/>
          <w:sz w:val="23"/>
          <w:szCs w:val="23"/>
        </w:rPr>
        <w:t xml:space="preserve"> </w:t>
      </w:r>
      <w:r w:rsidR="006405CE" w:rsidRPr="00B720F7">
        <w:rPr>
          <w:rFonts w:ascii="Times New Roman" w:hAnsi="Times New Roman" w:cs="Times New Roman"/>
          <w:sz w:val="23"/>
          <w:szCs w:val="23"/>
        </w:rPr>
        <w:t>(e.g., MSP-X</w:t>
      </w:r>
      <w:r w:rsidR="006F4D6B" w:rsidRPr="00B720F7">
        <w:rPr>
          <w:rFonts w:ascii="Times New Roman" w:hAnsi="Times New Roman" w:cs="Times New Roman"/>
          <w:sz w:val="23"/>
          <w:szCs w:val="23"/>
        </w:rPr>
        <w:t>XXXX</w:t>
      </w:r>
      <w:r w:rsidR="006405CE" w:rsidRPr="00B720F7">
        <w:rPr>
          <w:rFonts w:ascii="Times New Roman" w:hAnsi="Times New Roman" w:cs="Times New Roman"/>
          <w:sz w:val="23"/>
          <w:szCs w:val="23"/>
        </w:rPr>
        <w:t xml:space="preserve">XXXX) </w:t>
      </w:r>
      <w:r w:rsidRPr="00B720F7">
        <w:rPr>
          <w:rFonts w:ascii="Times New Roman" w:hAnsi="Times New Roman" w:cs="Times New Roman"/>
          <w:sz w:val="23"/>
          <w:szCs w:val="23"/>
        </w:rPr>
        <w:t>assigned to the loan that is the subjec</w:t>
      </w:r>
      <w:r w:rsidR="00A6441D">
        <w:rPr>
          <w:rFonts w:ascii="Times New Roman" w:hAnsi="Times New Roman" w:cs="Times New Roman"/>
          <w:sz w:val="23"/>
          <w:szCs w:val="23"/>
        </w:rPr>
        <w:t>t of the</w:t>
      </w:r>
      <w:r w:rsidRPr="00B720F7">
        <w:rPr>
          <w:rFonts w:ascii="Times New Roman" w:hAnsi="Times New Roman" w:cs="Times New Roman"/>
          <w:sz w:val="23"/>
          <w:szCs w:val="23"/>
        </w:rPr>
        <w:t xml:space="preserve"> request in the Main Street Portal.</w:t>
      </w:r>
    </w:p>
    <w:p w14:paraId="61C8D6FF" w14:textId="7F355350" w:rsidR="00502701" w:rsidRPr="00B720F7" w:rsidRDefault="00502701">
      <w:pPr>
        <w:pStyle w:val="ListParagraph"/>
        <w:numPr>
          <w:ilvl w:val="0"/>
          <w:numId w:val="1"/>
        </w:numPr>
        <w:rPr>
          <w:rFonts w:ascii="Times New Roman" w:hAnsi="Times New Roman" w:cs="Times New Roman"/>
          <w:sz w:val="23"/>
          <w:szCs w:val="23"/>
          <w:u w:val="single"/>
        </w:rPr>
      </w:pPr>
      <w:r w:rsidRPr="00B720F7">
        <w:rPr>
          <w:rFonts w:ascii="Times New Roman" w:hAnsi="Times New Roman" w:cs="Times New Roman"/>
          <w:sz w:val="23"/>
          <w:szCs w:val="23"/>
        </w:rPr>
        <w:t xml:space="preserve">Indicate whether the Eligible Lender is seeking a determination that the action constitutes a Core Rights Act.  </w:t>
      </w:r>
    </w:p>
    <w:p w14:paraId="66270941" w14:textId="65999254" w:rsidR="0089471A" w:rsidRPr="00B720F7" w:rsidRDefault="004D321A" w:rsidP="004D321A">
      <w:pPr>
        <w:pStyle w:val="ListParagraph"/>
        <w:numPr>
          <w:ilvl w:val="0"/>
          <w:numId w:val="1"/>
        </w:numPr>
        <w:rPr>
          <w:rFonts w:ascii="Times New Roman" w:hAnsi="Times New Roman" w:cs="Times New Roman"/>
          <w:sz w:val="23"/>
          <w:szCs w:val="23"/>
          <w:u w:val="single"/>
        </w:rPr>
      </w:pPr>
      <w:r w:rsidRPr="00B720F7">
        <w:rPr>
          <w:rFonts w:ascii="Times New Roman" w:hAnsi="Times New Roman" w:cs="Times New Roman"/>
          <w:sz w:val="23"/>
          <w:szCs w:val="23"/>
        </w:rPr>
        <w:t xml:space="preserve">Provide </w:t>
      </w:r>
      <w:r w:rsidR="00EA1764" w:rsidRPr="00B720F7">
        <w:rPr>
          <w:rFonts w:ascii="Times New Roman" w:hAnsi="Times New Roman" w:cs="Times New Roman"/>
          <w:sz w:val="23"/>
          <w:szCs w:val="23"/>
        </w:rPr>
        <w:t xml:space="preserve">a </w:t>
      </w:r>
      <w:r w:rsidR="008E1A18" w:rsidRPr="00B720F7">
        <w:rPr>
          <w:rFonts w:ascii="Times New Roman" w:hAnsi="Times New Roman" w:cs="Times New Roman"/>
          <w:sz w:val="23"/>
          <w:szCs w:val="23"/>
        </w:rPr>
        <w:t xml:space="preserve">detailed </w:t>
      </w:r>
      <w:r w:rsidRPr="00B720F7">
        <w:rPr>
          <w:rFonts w:ascii="Times New Roman" w:hAnsi="Times New Roman" w:cs="Times New Roman"/>
          <w:sz w:val="23"/>
          <w:szCs w:val="23"/>
        </w:rPr>
        <w:t xml:space="preserve">summary of the proposed request in the Description of Request section.  </w:t>
      </w:r>
    </w:p>
    <w:p w14:paraId="4F8F963A" w14:textId="4EE1C15E" w:rsidR="00EA1764" w:rsidRPr="00B720F7" w:rsidRDefault="00EA1764" w:rsidP="004D321A">
      <w:pPr>
        <w:pStyle w:val="ListParagraph"/>
        <w:numPr>
          <w:ilvl w:val="0"/>
          <w:numId w:val="1"/>
        </w:numPr>
        <w:rPr>
          <w:rFonts w:ascii="Times New Roman" w:hAnsi="Times New Roman" w:cs="Times New Roman"/>
          <w:sz w:val="23"/>
          <w:szCs w:val="23"/>
          <w:u w:val="single"/>
        </w:rPr>
      </w:pPr>
      <w:r w:rsidRPr="00B720F7">
        <w:rPr>
          <w:rFonts w:ascii="Times New Roman" w:hAnsi="Times New Roman" w:cs="Times New Roman"/>
          <w:sz w:val="23"/>
          <w:szCs w:val="23"/>
        </w:rPr>
        <w:t>Provide the definitive, final amendment</w:t>
      </w:r>
      <w:r w:rsidR="004E7482">
        <w:rPr>
          <w:rFonts w:ascii="Times New Roman" w:hAnsi="Times New Roman" w:cs="Times New Roman"/>
          <w:sz w:val="23"/>
          <w:szCs w:val="23"/>
        </w:rPr>
        <w:t>,</w:t>
      </w:r>
      <w:r w:rsidRPr="00B720F7">
        <w:rPr>
          <w:rFonts w:ascii="Times New Roman" w:hAnsi="Times New Roman" w:cs="Times New Roman"/>
          <w:sz w:val="23"/>
          <w:szCs w:val="23"/>
        </w:rPr>
        <w:t xml:space="preserve"> waiver</w:t>
      </w:r>
      <w:r w:rsidR="00640E2E">
        <w:rPr>
          <w:rFonts w:ascii="Times New Roman" w:hAnsi="Times New Roman" w:cs="Times New Roman"/>
          <w:sz w:val="23"/>
          <w:szCs w:val="23"/>
        </w:rPr>
        <w:t>,</w:t>
      </w:r>
      <w:r w:rsidR="004E7482">
        <w:rPr>
          <w:rFonts w:ascii="Times New Roman" w:hAnsi="Times New Roman" w:cs="Times New Roman"/>
          <w:sz w:val="23"/>
          <w:szCs w:val="23"/>
        </w:rPr>
        <w:t xml:space="preserve"> or other</w:t>
      </w:r>
      <w:r w:rsidRPr="00B720F7">
        <w:rPr>
          <w:rFonts w:ascii="Times New Roman" w:hAnsi="Times New Roman" w:cs="Times New Roman"/>
          <w:sz w:val="23"/>
          <w:szCs w:val="23"/>
        </w:rPr>
        <w:t xml:space="preserve"> documentation that </w:t>
      </w:r>
      <w:r w:rsidR="00E26BE9" w:rsidRPr="00B720F7">
        <w:rPr>
          <w:rFonts w:ascii="Times New Roman" w:hAnsi="Times New Roman" w:cs="Times New Roman"/>
          <w:sz w:val="23"/>
          <w:szCs w:val="23"/>
        </w:rPr>
        <w:t xml:space="preserve">will be entered into to effect the relevant Core Rights Act. </w:t>
      </w:r>
    </w:p>
    <w:p w14:paraId="0A55BC53" w14:textId="325DA5A0" w:rsidR="004D321A" w:rsidRPr="00B720F7" w:rsidRDefault="006405CE" w:rsidP="008E1A18">
      <w:pPr>
        <w:pStyle w:val="ListParagraph"/>
        <w:numPr>
          <w:ilvl w:val="0"/>
          <w:numId w:val="1"/>
        </w:numPr>
        <w:rPr>
          <w:rFonts w:ascii="Times New Roman" w:hAnsi="Times New Roman" w:cs="Times New Roman"/>
          <w:sz w:val="23"/>
          <w:szCs w:val="23"/>
          <w:u w:val="single"/>
        </w:rPr>
      </w:pPr>
      <w:r w:rsidRPr="00B720F7">
        <w:rPr>
          <w:rFonts w:ascii="Times New Roman" w:hAnsi="Times New Roman" w:cs="Times New Roman"/>
          <w:sz w:val="23"/>
          <w:szCs w:val="23"/>
        </w:rPr>
        <w:t>R</w:t>
      </w:r>
      <w:r w:rsidR="004D321A" w:rsidRPr="00B720F7">
        <w:rPr>
          <w:rFonts w:ascii="Times New Roman" w:hAnsi="Times New Roman" w:cs="Times New Roman"/>
          <w:sz w:val="23"/>
          <w:szCs w:val="23"/>
        </w:rPr>
        <w:t>e</w:t>
      </w:r>
      <w:r w:rsidR="008E1A18" w:rsidRPr="00B720F7">
        <w:rPr>
          <w:rFonts w:ascii="Times New Roman" w:hAnsi="Times New Roman" w:cs="Times New Roman"/>
          <w:sz w:val="23"/>
          <w:szCs w:val="23"/>
        </w:rPr>
        <w:t xml:space="preserve">view </w:t>
      </w:r>
      <w:r w:rsidRPr="00B720F7">
        <w:rPr>
          <w:rFonts w:ascii="Times New Roman" w:hAnsi="Times New Roman" w:cs="Times New Roman"/>
          <w:sz w:val="23"/>
          <w:szCs w:val="23"/>
        </w:rPr>
        <w:t xml:space="preserve">the </w:t>
      </w:r>
      <w:r w:rsidR="008E1A18" w:rsidRPr="00B720F7">
        <w:rPr>
          <w:rFonts w:ascii="Times New Roman" w:hAnsi="Times New Roman" w:cs="Times New Roman"/>
          <w:sz w:val="23"/>
          <w:szCs w:val="23"/>
        </w:rPr>
        <w:t>Core Rights Act checklist and c</w:t>
      </w:r>
      <w:r w:rsidR="004D321A" w:rsidRPr="00B720F7">
        <w:rPr>
          <w:rFonts w:ascii="Times New Roman" w:hAnsi="Times New Roman" w:cs="Times New Roman"/>
          <w:sz w:val="23"/>
          <w:szCs w:val="23"/>
        </w:rPr>
        <w:t xml:space="preserve">heck all Core Rights </w:t>
      </w:r>
      <w:r w:rsidR="004E7482">
        <w:rPr>
          <w:rFonts w:ascii="Times New Roman" w:hAnsi="Times New Roman" w:cs="Times New Roman"/>
          <w:sz w:val="23"/>
          <w:szCs w:val="23"/>
        </w:rPr>
        <w:t xml:space="preserve">Act </w:t>
      </w:r>
      <w:r w:rsidR="004D321A" w:rsidRPr="00B720F7">
        <w:rPr>
          <w:rFonts w:ascii="Times New Roman" w:hAnsi="Times New Roman" w:cs="Times New Roman"/>
          <w:sz w:val="23"/>
          <w:szCs w:val="23"/>
        </w:rPr>
        <w:t>categories that apply to the request.</w:t>
      </w:r>
    </w:p>
    <w:p w14:paraId="16267301" w14:textId="759B412C" w:rsidR="004D321A" w:rsidRPr="00B720F7" w:rsidRDefault="006405CE" w:rsidP="004D321A">
      <w:pPr>
        <w:pStyle w:val="ListParagraph"/>
        <w:numPr>
          <w:ilvl w:val="0"/>
          <w:numId w:val="1"/>
        </w:numPr>
        <w:rPr>
          <w:rFonts w:ascii="Times New Roman" w:hAnsi="Times New Roman" w:cs="Times New Roman"/>
          <w:sz w:val="23"/>
          <w:szCs w:val="23"/>
          <w:u w:val="single"/>
        </w:rPr>
      </w:pPr>
      <w:r w:rsidRPr="00B720F7">
        <w:rPr>
          <w:rFonts w:ascii="Times New Roman" w:hAnsi="Times New Roman" w:cs="Times New Roman"/>
          <w:sz w:val="23"/>
          <w:szCs w:val="23"/>
        </w:rPr>
        <w:t>A</w:t>
      </w:r>
      <w:r w:rsidR="004D321A" w:rsidRPr="00B720F7">
        <w:rPr>
          <w:rFonts w:ascii="Times New Roman" w:hAnsi="Times New Roman" w:cs="Times New Roman"/>
          <w:sz w:val="23"/>
          <w:szCs w:val="23"/>
        </w:rPr>
        <w:t xml:space="preserve">ttach all documentation needed </w:t>
      </w:r>
      <w:r w:rsidRPr="00B720F7">
        <w:rPr>
          <w:rFonts w:ascii="Times New Roman" w:hAnsi="Times New Roman" w:cs="Times New Roman"/>
          <w:sz w:val="23"/>
          <w:szCs w:val="23"/>
        </w:rPr>
        <w:t xml:space="preserve">for the Main Street SPV </w:t>
      </w:r>
      <w:r w:rsidR="004D321A" w:rsidRPr="00B720F7">
        <w:rPr>
          <w:rFonts w:ascii="Times New Roman" w:hAnsi="Times New Roman" w:cs="Times New Roman"/>
          <w:sz w:val="23"/>
          <w:szCs w:val="23"/>
        </w:rPr>
        <w:t xml:space="preserve">to assess the request.  </w:t>
      </w:r>
      <w:r w:rsidR="0089471A" w:rsidRPr="00B720F7">
        <w:rPr>
          <w:rFonts w:ascii="Times New Roman" w:hAnsi="Times New Roman" w:cs="Times New Roman"/>
          <w:sz w:val="23"/>
          <w:szCs w:val="23"/>
        </w:rPr>
        <w:t xml:space="preserve">Documents can either be embedded into the </w:t>
      </w:r>
      <w:r w:rsidRPr="00B720F7">
        <w:rPr>
          <w:rFonts w:ascii="Times New Roman" w:hAnsi="Times New Roman" w:cs="Times New Roman"/>
          <w:sz w:val="23"/>
          <w:szCs w:val="23"/>
        </w:rPr>
        <w:t>Form</w:t>
      </w:r>
      <w:r w:rsidR="0089471A" w:rsidRPr="00B720F7">
        <w:rPr>
          <w:rFonts w:ascii="Times New Roman" w:hAnsi="Times New Roman" w:cs="Times New Roman"/>
          <w:sz w:val="23"/>
          <w:szCs w:val="23"/>
        </w:rPr>
        <w:t xml:space="preserve"> or attached to the request email as </w:t>
      </w:r>
      <w:r w:rsidR="00872B53" w:rsidRPr="00B720F7">
        <w:rPr>
          <w:rFonts w:ascii="Times New Roman" w:hAnsi="Times New Roman" w:cs="Times New Roman"/>
          <w:sz w:val="23"/>
          <w:szCs w:val="23"/>
        </w:rPr>
        <w:t xml:space="preserve">PDF </w:t>
      </w:r>
      <w:r w:rsidR="0089471A" w:rsidRPr="00B720F7">
        <w:rPr>
          <w:rFonts w:ascii="Times New Roman" w:hAnsi="Times New Roman" w:cs="Times New Roman"/>
          <w:sz w:val="23"/>
          <w:szCs w:val="23"/>
        </w:rPr>
        <w:t>file attachments.</w:t>
      </w:r>
    </w:p>
    <w:p w14:paraId="6E5DC8AF" w14:textId="1FC62878" w:rsidR="00591954" w:rsidRPr="00B720F7" w:rsidRDefault="006405CE" w:rsidP="005D4074">
      <w:pPr>
        <w:pStyle w:val="ListParagraph"/>
        <w:numPr>
          <w:ilvl w:val="0"/>
          <w:numId w:val="1"/>
        </w:numPr>
        <w:rPr>
          <w:rFonts w:ascii="Times New Roman" w:hAnsi="Times New Roman" w:cs="Times New Roman"/>
          <w:sz w:val="23"/>
          <w:szCs w:val="23"/>
        </w:rPr>
      </w:pPr>
      <w:r w:rsidRPr="00B720F7">
        <w:rPr>
          <w:rFonts w:ascii="Times New Roman" w:hAnsi="Times New Roman" w:cs="Times New Roman"/>
          <w:sz w:val="23"/>
          <w:szCs w:val="23"/>
        </w:rPr>
        <w:t xml:space="preserve">Ensure the Form has been signed and dated by </w:t>
      </w:r>
      <w:r w:rsidR="004E7482">
        <w:rPr>
          <w:rFonts w:ascii="Times New Roman" w:hAnsi="Times New Roman" w:cs="Times New Roman"/>
          <w:sz w:val="23"/>
          <w:szCs w:val="23"/>
        </w:rPr>
        <w:t>a duly</w:t>
      </w:r>
      <w:r w:rsidR="008E1A18" w:rsidRPr="00B720F7">
        <w:rPr>
          <w:rFonts w:ascii="Times New Roman" w:hAnsi="Times New Roman" w:cs="Times New Roman"/>
          <w:sz w:val="23"/>
          <w:szCs w:val="23"/>
        </w:rPr>
        <w:t xml:space="preserve"> a</w:t>
      </w:r>
      <w:r w:rsidR="00591954" w:rsidRPr="00B720F7">
        <w:rPr>
          <w:rFonts w:ascii="Times New Roman" w:hAnsi="Times New Roman" w:cs="Times New Roman"/>
          <w:sz w:val="23"/>
          <w:szCs w:val="23"/>
        </w:rPr>
        <w:t xml:space="preserve">uthorized </w:t>
      </w:r>
      <w:r w:rsidR="004E7482">
        <w:rPr>
          <w:rFonts w:ascii="Times New Roman" w:hAnsi="Times New Roman" w:cs="Times New Roman"/>
          <w:sz w:val="23"/>
          <w:szCs w:val="23"/>
        </w:rPr>
        <w:t xml:space="preserve">employee or </w:t>
      </w:r>
      <w:r w:rsidR="00591954" w:rsidRPr="00B720F7">
        <w:rPr>
          <w:rFonts w:ascii="Times New Roman" w:hAnsi="Times New Roman" w:cs="Times New Roman"/>
          <w:sz w:val="23"/>
          <w:szCs w:val="23"/>
        </w:rPr>
        <w:t>officer of the Eligible Lender</w:t>
      </w:r>
      <w:r w:rsidR="00B720F7" w:rsidRPr="00B720F7">
        <w:rPr>
          <w:rFonts w:ascii="Times New Roman" w:hAnsi="Times New Roman" w:cs="Times New Roman"/>
          <w:sz w:val="23"/>
          <w:szCs w:val="23"/>
        </w:rPr>
        <w:t>, w</w:t>
      </w:r>
      <w:r w:rsidRPr="00B720F7">
        <w:rPr>
          <w:rFonts w:ascii="Times New Roman" w:hAnsi="Times New Roman" w:cs="Times New Roman"/>
          <w:sz w:val="23"/>
          <w:szCs w:val="23"/>
        </w:rPr>
        <w:t>ho has</w:t>
      </w:r>
      <w:r w:rsidR="00B720F7" w:rsidRPr="00B720F7">
        <w:rPr>
          <w:rFonts w:ascii="Times New Roman" w:hAnsi="Times New Roman" w:cs="Times New Roman"/>
          <w:sz w:val="23"/>
          <w:szCs w:val="23"/>
        </w:rPr>
        <w:t xml:space="preserve"> </w:t>
      </w:r>
      <w:r w:rsidR="004E7482">
        <w:rPr>
          <w:rFonts w:ascii="Times New Roman" w:hAnsi="Times New Roman" w:cs="Times New Roman"/>
          <w:sz w:val="23"/>
          <w:szCs w:val="23"/>
        </w:rPr>
        <w:t xml:space="preserve">also </w:t>
      </w:r>
      <w:r w:rsidRPr="00B720F7">
        <w:rPr>
          <w:rFonts w:ascii="Times New Roman" w:hAnsi="Times New Roman" w:cs="Times New Roman"/>
          <w:sz w:val="23"/>
          <w:szCs w:val="23"/>
        </w:rPr>
        <w:t>been</w:t>
      </w:r>
      <w:r w:rsidR="00872B53" w:rsidRPr="00B720F7">
        <w:rPr>
          <w:rFonts w:ascii="Times New Roman" w:hAnsi="Times New Roman" w:cs="Times New Roman"/>
          <w:sz w:val="23"/>
          <w:szCs w:val="23"/>
        </w:rPr>
        <w:t xml:space="preserve"> designated as an Authorized User within the Main Street Portal</w:t>
      </w:r>
      <w:r w:rsidR="00591954" w:rsidRPr="00B720F7">
        <w:rPr>
          <w:rFonts w:ascii="Times New Roman" w:hAnsi="Times New Roman" w:cs="Times New Roman"/>
          <w:sz w:val="23"/>
          <w:szCs w:val="23"/>
        </w:rPr>
        <w:t>.</w:t>
      </w:r>
    </w:p>
    <w:p w14:paraId="1EE8D604" w14:textId="7A51F078" w:rsidR="0089471A" w:rsidRPr="00B720F7" w:rsidRDefault="006405CE" w:rsidP="00C334DF">
      <w:pPr>
        <w:pStyle w:val="ListParagraph"/>
        <w:numPr>
          <w:ilvl w:val="0"/>
          <w:numId w:val="1"/>
        </w:numPr>
        <w:rPr>
          <w:rFonts w:ascii="Times New Roman" w:hAnsi="Times New Roman" w:cs="Times New Roman"/>
          <w:sz w:val="23"/>
          <w:szCs w:val="23"/>
        </w:rPr>
      </w:pPr>
      <w:r w:rsidRPr="00B720F7">
        <w:rPr>
          <w:rFonts w:ascii="Times New Roman" w:hAnsi="Times New Roman" w:cs="Times New Roman"/>
          <w:sz w:val="23"/>
          <w:szCs w:val="23"/>
        </w:rPr>
        <w:t>Submit the request</w:t>
      </w:r>
      <w:r w:rsidR="0089471A" w:rsidRPr="00B720F7">
        <w:rPr>
          <w:rFonts w:ascii="Times New Roman" w:hAnsi="Times New Roman" w:cs="Times New Roman"/>
          <w:sz w:val="23"/>
          <w:szCs w:val="23"/>
        </w:rPr>
        <w:t xml:space="preserve"> by secured encrypted email to </w:t>
      </w:r>
      <w:hyperlink r:id="rId8" w:history="1"/>
      <w:hyperlink r:id="rId9" w:history="1">
        <w:r w:rsidR="00C334DF" w:rsidRPr="00006E7D">
          <w:rPr>
            <w:rStyle w:val="Hyperlink"/>
            <w:rFonts w:ascii="Times New Roman" w:hAnsi="Times New Roman" w:cs="Times New Roman"/>
            <w:sz w:val="23"/>
            <w:szCs w:val="23"/>
          </w:rPr>
          <w:t>lenderinquiry@mainstreetlendingadmin.org</w:t>
        </w:r>
      </w:hyperlink>
      <w:r w:rsidR="00232720" w:rsidRPr="00C334DF">
        <w:t>.</w:t>
      </w:r>
      <w:r w:rsidR="00C334DF">
        <w:t xml:space="preserve"> </w:t>
      </w:r>
    </w:p>
    <w:p w14:paraId="125E7C15" w14:textId="4988EDDC" w:rsidR="00A30B58" w:rsidRPr="00B720F7" w:rsidRDefault="00E26BE9">
      <w:pPr>
        <w:rPr>
          <w:rFonts w:ascii="Times New Roman" w:hAnsi="Times New Roman" w:cs="Times New Roman"/>
          <w:b/>
          <w:sz w:val="24"/>
          <w:szCs w:val="24"/>
          <w:u w:val="single"/>
        </w:rPr>
      </w:pPr>
      <w:r w:rsidRPr="00B720F7">
        <w:rPr>
          <w:rFonts w:ascii="Times New Roman" w:hAnsi="Times New Roman" w:cs="Times New Roman"/>
          <w:sz w:val="23"/>
          <w:szCs w:val="23"/>
        </w:rPr>
        <w:t xml:space="preserve">The Main Street SPV </w:t>
      </w:r>
      <w:r w:rsidR="0089471A" w:rsidRPr="00B720F7">
        <w:rPr>
          <w:rFonts w:ascii="Times New Roman" w:hAnsi="Times New Roman" w:cs="Times New Roman"/>
          <w:sz w:val="23"/>
          <w:szCs w:val="23"/>
        </w:rPr>
        <w:t xml:space="preserve">will respond </w:t>
      </w:r>
      <w:r w:rsidR="00232720" w:rsidRPr="00B720F7">
        <w:rPr>
          <w:rFonts w:ascii="Times New Roman" w:hAnsi="Times New Roman" w:cs="Times New Roman"/>
          <w:sz w:val="23"/>
          <w:szCs w:val="23"/>
        </w:rPr>
        <w:t xml:space="preserve">via email </w:t>
      </w:r>
      <w:r w:rsidR="0089471A" w:rsidRPr="00B720F7">
        <w:rPr>
          <w:rFonts w:ascii="Times New Roman" w:hAnsi="Times New Roman" w:cs="Times New Roman"/>
          <w:sz w:val="23"/>
          <w:szCs w:val="23"/>
        </w:rPr>
        <w:t>in a timely manner to all request</w:t>
      </w:r>
      <w:r w:rsidR="008E1A18" w:rsidRPr="00B720F7">
        <w:rPr>
          <w:rFonts w:ascii="Times New Roman" w:hAnsi="Times New Roman" w:cs="Times New Roman"/>
          <w:sz w:val="23"/>
          <w:szCs w:val="23"/>
        </w:rPr>
        <w:t>s</w:t>
      </w:r>
      <w:r w:rsidR="00E876D5">
        <w:rPr>
          <w:rFonts w:ascii="Times New Roman" w:hAnsi="Times New Roman" w:cs="Times New Roman"/>
          <w:sz w:val="23"/>
          <w:szCs w:val="23"/>
        </w:rPr>
        <w:t>.</w:t>
      </w:r>
      <w:r w:rsidR="00A30B58" w:rsidRPr="00B720F7">
        <w:rPr>
          <w:rFonts w:ascii="Times New Roman" w:hAnsi="Times New Roman" w:cs="Times New Roman"/>
          <w:b/>
          <w:sz w:val="24"/>
          <w:szCs w:val="24"/>
          <w:u w:val="single"/>
        </w:rPr>
        <w:br w:type="page"/>
      </w:r>
    </w:p>
    <w:p w14:paraId="57399650" w14:textId="29E2B4E0" w:rsidR="00A21968" w:rsidRPr="00B720F7" w:rsidRDefault="00A21968" w:rsidP="00A21968">
      <w:pPr>
        <w:spacing w:after="0"/>
        <w:jc w:val="center"/>
        <w:rPr>
          <w:rFonts w:ascii="Times New Roman" w:hAnsi="Times New Roman" w:cs="Times New Roman"/>
          <w:b/>
          <w:sz w:val="24"/>
          <w:szCs w:val="24"/>
          <w:u w:val="single"/>
        </w:rPr>
      </w:pPr>
      <w:r w:rsidRPr="00B720F7">
        <w:rPr>
          <w:rFonts w:ascii="Times New Roman" w:hAnsi="Times New Roman" w:cs="Times New Roman"/>
          <w:b/>
          <w:sz w:val="24"/>
          <w:szCs w:val="24"/>
          <w:u w:val="single"/>
        </w:rPr>
        <w:lastRenderedPageBreak/>
        <w:t>ELIGIBLE LENDER REQUEST FOR LOAN MODIFICATION OR WAIVER FORM</w:t>
      </w:r>
    </w:p>
    <w:p w14:paraId="57485354" w14:textId="7941C253" w:rsidR="00A21968" w:rsidRPr="00B720F7" w:rsidRDefault="00A21968" w:rsidP="00A21968">
      <w:pPr>
        <w:spacing w:after="0"/>
        <w:jc w:val="center"/>
        <w:rPr>
          <w:rFonts w:ascii="Times New Roman" w:hAnsi="Times New Roman" w:cs="Times New Roman"/>
          <w:b/>
          <w:sz w:val="24"/>
          <w:szCs w:val="24"/>
          <w:u w:val="single"/>
        </w:rPr>
      </w:pPr>
      <w:r w:rsidRPr="00B720F7">
        <w:rPr>
          <w:rFonts w:ascii="Times New Roman" w:hAnsi="Times New Roman" w:cs="Times New Roman"/>
          <w:b/>
          <w:i/>
          <w:sz w:val="24"/>
          <w:szCs w:val="24"/>
        </w:rPr>
        <w:t>MAIN STREET LENDING PROGRAM</w:t>
      </w:r>
    </w:p>
    <w:p w14:paraId="238FC4AA" w14:textId="0CB1964F" w:rsidR="00E26BE9" w:rsidRPr="00B720F7" w:rsidRDefault="00E26BE9">
      <w:pPr>
        <w:rPr>
          <w:rFonts w:ascii="Times New Roman" w:hAnsi="Times New Roman" w:cs="Times New Roman"/>
          <w:sz w:val="24"/>
          <w:szCs w:val="24"/>
        </w:rPr>
      </w:pPr>
    </w:p>
    <w:tbl>
      <w:tblPr>
        <w:tblStyle w:val="TableGrid"/>
        <w:tblW w:w="9355" w:type="dxa"/>
        <w:tblLook w:val="04A0" w:firstRow="1" w:lastRow="0" w:firstColumn="1" w:lastColumn="0" w:noHBand="0" w:noVBand="1"/>
      </w:tblPr>
      <w:tblGrid>
        <w:gridCol w:w="4135"/>
        <w:gridCol w:w="5220"/>
      </w:tblGrid>
      <w:tr w:rsidR="00A21968" w:rsidRPr="00B720F7" w14:paraId="13D5CCB9" w14:textId="77777777" w:rsidTr="00397292">
        <w:tc>
          <w:tcPr>
            <w:tcW w:w="4135" w:type="dxa"/>
          </w:tcPr>
          <w:p w14:paraId="65FE9692" w14:textId="321AE1C2" w:rsidR="00A21968" w:rsidRPr="00B720F7" w:rsidRDefault="00A21968" w:rsidP="00397292">
            <w:pPr>
              <w:rPr>
                <w:rFonts w:ascii="Times New Roman" w:hAnsi="Times New Roman" w:cs="Times New Roman"/>
                <w:b/>
                <w:i/>
                <w:sz w:val="24"/>
                <w:szCs w:val="24"/>
              </w:rPr>
            </w:pPr>
            <w:r w:rsidRPr="00B720F7">
              <w:rPr>
                <w:rFonts w:ascii="Times New Roman" w:hAnsi="Times New Roman" w:cs="Times New Roman"/>
                <w:b/>
                <w:i/>
                <w:sz w:val="24"/>
                <w:szCs w:val="24"/>
              </w:rPr>
              <w:t xml:space="preserve">Main Street Loan Program </w:t>
            </w:r>
            <w:r w:rsidR="00D25F34" w:rsidRPr="00B720F7">
              <w:rPr>
                <w:rFonts w:ascii="Times New Roman" w:hAnsi="Times New Roman" w:cs="Times New Roman"/>
                <w:b/>
                <w:i/>
                <w:sz w:val="24"/>
                <w:szCs w:val="24"/>
              </w:rPr>
              <w:t>Participation ID</w:t>
            </w:r>
            <w:r w:rsidR="006405CE" w:rsidRPr="00B720F7">
              <w:rPr>
                <w:rFonts w:ascii="Times New Roman" w:hAnsi="Times New Roman" w:cs="Times New Roman"/>
                <w:b/>
                <w:i/>
                <w:sz w:val="24"/>
                <w:szCs w:val="24"/>
              </w:rPr>
              <w:t xml:space="preserve"> </w:t>
            </w:r>
            <w:r w:rsidR="00B720F7">
              <w:rPr>
                <w:rFonts w:ascii="Times New Roman" w:hAnsi="Times New Roman" w:cs="Times New Roman"/>
                <w:b/>
                <w:i/>
                <w:sz w:val="24"/>
                <w:szCs w:val="24"/>
              </w:rPr>
              <w:br/>
            </w:r>
            <w:r w:rsidR="006405CE" w:rsidRPr="00B720F7">
              <w:rPr>
                <w:rFonts w:ascii="Times New Roman" w:hAnsi="Times New Roman" w:cs="Times New Roman"/>
                <w:sz w:val="24"/>
                <w:szCs w:val="24"/>
              </w:rPr>
              <w:t>(e.g., MSP-XX</w:t>
            </w:r>
            <w:r w:rsidR="006F4D6B" w:rsidRPr="00B720F7">
              <w:rPr>
                <w:rFonts w:ascii="Times New Roman" w:hAnsi="Times New Roman" w:cs="Times New Roman"/>
                <w:sz w:val="24"/>
                <w:szCs w:val="24"/>
              </w:rPr>
              <w:t>XXXX</w:t>
            </w:r>
            <w:r w:rsidR="006C3D0F">
              <w:rPr>
                <w:rFonts w:ascii="Times New Roman" w:hAnsi="Times New Roman" w:cs="Times New Roman"/>
                <w:sz w:val="24"/>
                <w:szCs w:val="24"/>
              </w:rPr>
              <w:t>XXX):</w:t>
            </w:r>
          </w:p>
        </w:tc>
        <w:tc>
          <w:tcPr>
            <w:tcW w:w="5220" w:type="dxa"/>
          </w:tcPr>
          <w:p w14:paraId="72E344DD" w14:textId="77777777" w:rsidR="00A21968" w:rsidRPr="00B720F7" w:rsidRDefault="00A21968" w:rsidP="00397292">
            <w:pPr>
              <w:rPr>
                <w:rFonts w:ascii="Times New Roman" w:hAnsi="Times New Roman" w:cs="Times New Roman"/>
                <w:sz w:val="24"/>
                <w:szCs w:val="24"/>
              </w:rPr>
            </w:pPr>
          </w:p>
        </w:tc>
      </w:tr>
    </w:tbl>
    <w:p w14:paraId="125FB733" w14:textId="77777777" w:rsidR="00A30B58" w:rsidRPr="00B720F7" w:rsidRDefault="00A30B58" w:rsidP="005C16B8">
      <w:pPr>
        <w:spacing w:after="0"/>
        <w:ind w:left="270" w:hanging="270"/>
        <w:rPr>
          <w:rFonts w:ascii="Times New Roman" w:hAnsi="Times New Roman" w:cs="Times New Roman"/>
          <w:b/>
          <w:i/>
          <w:sz w:val="24"/>
          <w:szCs w:val="24"/>
        </w:rPr>
      </w:pPr>
    </w:p>
    <w:p w14:paraId="75B3C916" w14:textId="188ABDF4" w:rsidR="00A30B58" w:rsidRPr="00B720F7" w:rsidRDefault="00AF7393" w:rsidP="005C16B8">
      <w:pPr>
        <w:spacing w:after="240"/>
        <w:ind w:left="270" w:hanging="270"/>
        <w:rPr>
          <w:rFonts w:ascii="Times New Roman" w:hAnsi="Times New Roman" w:cs="Times New Roman"/>
          <w:b/>
          <w:i/>
          <w:sz w:val="24"/>
          <w:szCs w:val="24"/>
        </w:rPr>
      </w:pPr>
      <w:sdt>
        <w:sdtPr>
          <w:rPr>
            <w:rFonts w:ascii="Times New Roman" w:hAnsi="Times New Roman" w:cs="Times New Roman"/>
            <w:sz w:val="24"/>
            <w:szCs w:val="24"/>
          </w:rPr>
          <w:id w:val="-714502139"/>
          <w14:checkbox>
            <w14:checked w14:val="0"/>
            <w14:checkedState w14:val="2612" w14:font="MS Gothic"/>
            <w14:uncheckedState w14:val="2610" w14:font="MS Gothic"/>
          </w14:checkbox>
        </w:sdtPr>
        <w:sdtEndPr/>
        <w:sdtContent>
          <w:r w:rsidR="00D25F34" w:rsidRPr="00B720F7">
            <w:rPr>
              <w:rFonts w:ascii="Segoe UI Symbol" w:eastAsia="MS Gothic" w:hAnsi="Segoe UI Symbol" w:cs="Segoe UI Symbol"/>
              <w:sz w:val="24"/>
              <w:szCs w:val="24"/>
            </w:rPr>
            <w:t>☐</w:t>
          </w:r>
        </w:sdtContent>
      </w:sdt>
      <w:r w:rsidR="005C16B8">
        <w:rPr>
          <w:rFonts w:ascii="Times New Roman" w:hAnsi="Times New Roman" w:cs="Times New Roman"/>
          <w:sz w:val="24"/>
          <w:szCs w:val="24"/>
        </w:rPr>
        <w:t xml:space="preserve"> </w:t>
      </w:r>
      <w:r w:rsidR="00A30B58" w:rsidRPr="00B720F7">
        <w:rPr>
          <w:rFonts w:ascii="Times New Roman" w:hAnsi="Times New Roman" w:cs="Times New Roman"/>
          <w:b/>
          <w:i/>
          <w:sz w:val="24"/>
          <w:szCs w:val="24"/>
        </w:rPr>
        <w:t>Check the box if the Eligible Lender is seeking a determination that the action constitutes a Core Rights Act</w:t>
      </w:r>
    </w:p>
    <w:p w14:paraId="1638002E" w14:textId="3C5E5685" w:rsidR="00A21968" w:rsidRPr="00B720F7" w:rsidRDefault="00A21968" w:rsidP="00A21968">
      <w:pPr>
        <w:spacing w:after="0" w:line="240" w:lineRule="auto"/>
        <w:rPr>
          <w:rFonts w:ascii="Times New Roman" w:hAnsi="Times New Roman" w:cs="Times New Roman"/>
          <w:b/>
          <w:i/>
          <w:sz w:val="24"/>
          <w:szCs w:val="24"/>
        </w:rPr>
      </w:pPr>
      <w:r w:rsidRPr="00B720F7">
        <w:rPr>
          <w:rFonts w:ascii="Times New Roman" w:hAnsi="Times New Roman" w:cs="Times New Roman"/>
          <w:b/>
          <w:i/>
          <w:sz w:val="24"/>
          <w:szCs w:val="24"/>
        </w:rPr>
        <w:t>Description of Request:</w:t>
      </w:r>
    </w:p>
    <w:tbl>
      <w:tblPr>
        <w:tblStyle w:val="TableGrid"/>
        <w:tblW w:w="0" w:type="auto"/>
        <w:tblLook w:val="04A0" w:firstRow="1" w:lastRow="0" w:firstColumn="1" w:lastColumn="0" w:noHBand="0" w:noVBand="1"/>
      </w:tblPr>
      <w:tblGrid>
        <w:gridCol w:w="9350"/>
      </w:tblGrid>
      <w:tr w:rsidR="00A21968" w:rsidRPr="00B720F7" w14:paraId="55592DAB" w14:textId="77777777" w:rsidTr="00397292">
        <w:trPr>
          <w:trHeight w:val="2357"/>
        </w:trPr>
        <w:tc>
          <w:tcPr>
            <w:tcW w:w="9350" w:type="dxa"/>
          </w:tcPr>
          <w:p w14:paraId="7D6BB435" w14:textId="77777777" w:rsidR="00A21968" w:rsidRPr="00B720F7" w:rsidRDefault="00A21968" w:rsidP="00397292">
            <w:pPr>
              <w:rPr>
                <w:rFonts w:ascii="Times New Roman" w:hAnsi="Times New Roman" w:cs="Times New Roman"/>
                <w:sz w:val="24"/>
                <w:szCs w:val="24"/>
              </w:rPr>
            </w:pPr>
          </w:p>
          <w:p w14:paraId="27ED4ABE" w14:textId="4D5CDF57" w:rsidR="00A21968" w:rsidRPr="00B720F7" w:rsidRDefault="00A77175" w:rsidP="00A30B58">
            <w:pPr>
              <w:rPr>
                <w:rFonts w:ascii="Times New Roman" w:hAnsi="Times New Roman" w:cs="Times New Roman"/>
                <w:i/>
                <w:sz w:val="24"/>
                <w:szCs w:val="24"/>
              </w:rPr>
            </w:pPr>
            <w:r w:rsidRPr="00B720F7">
              <w:rPr>
                <w:rFonts w:ascii="Times New Roman" w:hAnsi="Times New Roman" w:cs="Times New Roman"/>
                <w:i/>
                <w:color w:val="2E74B5" w:themeColor="accent1" w:themeShade="BF"/>
                <w:sz w:val="24"/>
                <w:szCs w:val="24"/>
              </w:rPr>
              <w:t>[</w:t>
            </w:r>
            <w:r w:rsidR="00A21968" w:rsidRPr="00B720F7">
              <w:rPr>
                <w:rFonts w:ascii="Times New Roman" w:hAnsi="Times New Roman" w:cs="Times New Roman"/>
                <w:i/>
                <w:color w:val="2E74B5" w:themeColor="accent1" w:themeShade="BF"/>
                <w:sz w:val="24"/>
                <w:szCs w:val="24"/>
              </w:rPr>
              <w:t xml:space="preserve">Insert a full description of the instructions or approval being requested by the Eligible Lender and the circumstances giving rise to the request.  Identify the specific Core Rights Act(s) that are the subject of the request. </w:t>
            </w:r>
            <w:r w:rsidRPr="00B720F7">
              <w:rPr>
                <w:rFonts w:ascii="Times New Roman" w:hAnsi="Times New Roman" w:cs="Times New Roman"/>
                <w:i/>
                <w:color w:val="2E74B5" w:themeColor="accent1" w:themeShade="BF"/>
                <w:sz w:val="24"/>
                <w:szCs w:val="24"/>
              </w:rPr>
              <w:t xml:space="preserve"> </w:t>
            </w:r>
            <w:r w:rsidR="00A21968" w:rsidRPr="00B720F7">
              <w:rPr>
                <w:rFonts w:ascii="Times New Roman" w:hAnsi="Times New Roman" w:cs="Times New Roman"/>
                <w:i/>
                <w:color w:val="2E74B5" w:themeColor="accent1" w:themeShade="BF"/>
                <w:sz w:val="24"/>
                <w:szCs w:val="24"/>
              </w:rPr>
              <w:t>Provide the text of the definitive, final amendment</w:t>
            </w:r>
            <w:r w:rsidR="004E7482">
              <w:rPr>
                <w:rFonts w:ascii="Times New Roman" w:hAnsi="Times New Roman" w:cs="Times New Roman"/>
                <w:i/>
                <w:color w:val="2E74B5" w:themeColor="accent1" w:themeShade="BF"/>
                <w:sz w:val="24"/>
                <w:szCs w:val="24"/>
              </w:rPr>
              <w:t xml:space="preserve">, </w:t>
            </w:r>
            <w:r w:rsidR="00A21968" w:rsidRPr="00B720F7">
              <w:rPr>
                <w:rFonts w:ascii="Times New Roman" w:hAnsi="Times New Roman" w:cs="Times New Roman"/>
                <w:i/>
                <w:color w:val="2E74B5" w:themeColor="accent1" w:themeShade="BF"/>
                <w:sz w:val="24"/>
                <w:szCs w:val="24"/>
              </w:rPr>
              <w:t>waiver</w:t>
            </w:r>
            <w:r w:rsidR="00E876D5">
              <w:rPr>
                <w:rFonts w:ascii="Times New Roman" w:hAnsi="Times New Roman" w:cs="Times New Roman"/>
                <w:i/>
                <w:color w:val="2E74B5" w:themeColor="accent1" w:themeShade="BF"/>
                <w:sz w:val="24"/>
                <w:szCs w:val="24"/>
              </w:rPr>
              <w:t>,</w:t>
            </w:r>
            <w:r w:rsidR="004E7482">
              <w:rPr>
                <w:rFonts w:ascii="Times New Roman" w:hAnsi="Times New Roman" w:cs="Times New Roman"/>
                <w:i/>
                <w:color w:val="2E74B5" w:themeColor="accent1" w:themeShade="BF"/>
                <w:sz w:val="24"/>
                <w:szCs w:val="24"/>
              </w:rPr>
              <w:t xml:space="preserve"> or other</w:t>
            </w:r>
            <w:r w:rsidR="00A21968" w:rsidRPr="00B720F7">
              <w:rPr>
                <w:rFonts w:ascii="Times New Roman" w:hAnsi="Times New Roman" w:cs="Times New Roman"/>
                <w:i/>
                <w:color w:val="2E74B5" w:themeColor="accent1" w:themeShade="BF"/>
                <w:sz w:val="24"/>
                <w:szCs w:val="24"/>
              </w:rPr>
              <w:t xml:space="preserve"> documentation that will be entered into to effect the relevant Core Rights Act.  Attach supporting documents </w:t>
            </w:r>
            <w:r w:rsidR="00A30B58" w:rsidRPr="00B720F7">
              <w:rPr>
                <w:rFonts w:ascii="Times New Roman" w:hAnsi="Times New Roman" w:cs="Times New Roman"/>
                <w:i/>
                <w:color w:val="2E74B5" w:themeColor="accent1" w:themeShade="BF"/>
                <w:sz w:val="24"/>
                <w:szCs w:val="24"/>
              </w:rPr>
              <w:t xml:space="preserve">here. </w:t>
            </w:r>
            <w:r w:rsidR="00A21968" w:rsidRPr="00B720F7">
              <w:rPr>
                <w:rFonts w:ascii="Times New Roman" w:hAnsi="Times New Roman" w:cs="Times New Roman"/>
                <w:i/>
                <w:color w:val="2E74B5" w:themeColor="accent1" w:themeShade="BF"/>
                <w:sz w:val="24"/>
                <w:szCs w:val="24"/>
              </w:rPr>
              <w:t xml:space="preserve"> (Remove these instructions when preparing request).</w:t>
            </w:r>
            <w:r w:rsidRPr="00B720F7">
              <w:rPr>
                <w:rFonts w:ascii="Times New Roman" w:hAnsi="Times New Roman" w:cs="Times New Roman"/>
                <w:i/>
                <w:color w:val="2E74B5" w:themeColor="accent1" w:themeShade="BF"/>
                <w:sz w:val="24"/>
                <w:szCs w:val="24"/>
              </w:rPr>
              <w:t>]</w:t>
            </w:r>
          </w:p>
        </w:tc>
      </w:tr>
    </w:tbl>
    <w:p w14:paraId="5939E05F" w14:textId="77777777" w:rsidR="00A21968" w:rsidRPr="00B720F7" w:rsidRDefault="00A21968" w:rsidP="00A21968">
      <w:pPr>
        <w:spacing w:after="0" w:line="240" w:lineRule="auto"/>
        <w:rPr>
          <w:rFonts w:ascii="Times New Roman" w:hAnsi="Times New Roman" w:cs="Times New Roman"/>
          <w:sz w:val="24"/>
          <w:szCs w:val="24"/>
        </w:rPr>
      </w:pPr>
    </w:p>
    <w:p w14:paraId="1C6181E4" w14:textId="77777777" w:rsidR="00A21968" w:rsidRPr="00B720F7" w:rsidRDefault="00A21968" w:rsidP="00A21968">
      <w:pPr>
        <w:spacing w:after="0" w:line="240" w:lineRule="auto"/>
        <w:rPr>
          <w:rFonts w:ascii="Times New Roman" w:hAnsi="Times New Roman" w:cs="Times New Roman"/>
          <w:b/>
          <w:i/>
          <w:sz w:val="24"/>
          <w:szCs w:val="24"/>
        </w:rPr>
      </w:pPr>
      <w:r w:rsidRPr="00B720F7">
        <w:rPr>
          <w:rFonts w:ascii="Times New Roman" w:hAnsi="Times New Roman" w:cs="Times New Roman"/>
          <w:b/>
          <w:i/>
          <w:sz w:val="24"/>
          <w:szCs w:val="24"/>
        </w:rPr>
        <w:t>Please indicate below which categories of Core Rights apply to the above noted Request (</w:t>
      </w:r>
      <w:r w:rsidRPr="00B720F7">
        <w:rPr>
          <w:rFonts w:ascii="Times New Roman" w:hAnsi="Times New Roman" w:cs="Times New Roman"/>
          <w:b/>
          <w:i/>
          <w:sz w:val="24"/>
          <w:szCs w:val="24"/>
          <w:u w:val="single"/>
        </w:rPr>
        <w:t>Check all that apply</w:t>
      </w:r>
      <w:r w:rsidRPr="00B720F7">
        <w:rPr>
          <w:rFonts w:ascii="Times New Roman" w:hAnsi="Times New Roman" w:cs="Times New Roman"/>
          <w:b/>
          <w:i/>
          <w:sz w:val="24"/>
          <w:szCs w:val="24"/>
        </w:rPr>
        <w:t>):</w:t>
      </w:r>
    </w:p>
    <w:p w14:paraId="63C0D873" w14:textId="77777777" w:rsidR="00A21968" w:rsidRPr="00B720F7" w:rsidRDefault="00A21968" w:rsidP="00A21968">
      <w:pPr>
        <w:spacing w:after="0" w:line="240" w:lineRule="auto"/>
        <w:rPr>
          <w:rFonts w:ascii="Times New Roman" w:hAnsi="Times New Roman" w:cs="Times New Roman"/>
          <w:sz w:val="24"/>
          <w:szCs w:val="24"/>
        </w:rPr>
      </w:pPr>
    </w:p>
    <w:p w14:paraId="783C9EB2" w14:textId="77777777" w:rsidR="00A21968" w:rsidRPr="00B720F7" w:rsidRDefault="00A21968" w:rsidP="00A21968">
      <w:pPr>
        <w:pStyle w:val="BulletPoint"/>
        <w:numPr>
          <w:ilvl w:val="0"/>
          <w:numId w:val="0"/>
        </w:numPr>
        <w:spacing w:before="0"/>
        <w:jc w:val="left"/>
        <w:rPr>
          <w:szCs w:val="24"/>
        </w:rPr>
      </w:pPr>
      <w:r w:rsidRPr="00B720F7">
        <w:rPr>
          <w:b/>
          <w:szCs w:val="24"/>
        </w:rPr>
        <w:t>“Core Rights Act</w:t>
      </w:r>
      <w:r w:rsidRPr="00B720F7">
        <w:rPr>
          <w:szCs w:val="24"/>
        </w:rPr>
        <w:t>” means any action (or inaction) with respect to the Transferred Rights and Assumed Obligations to the extent such action (or inaction) would result in:</w:t>
      </w:r>
    </w:p>
    <w:p w14:paraId="48A11A95" w14:textId="77777777" w:rsidR="00A21968" w:rsidRPr="00B720F7" w:rsidRDefault="00A21968" w:rsidP="005C16B8">
      <w:pPr>
        <w:pStyle w:val="BulletPoint"/>
        <w:numPr>
          <w:ilvl w:val="0"/>
          <w:numId w:val="0"/>
        </w:numPr>
        <w:spacing w:before="0"/>
        <w:ind w:left="270" w:hanging="270"/>
        <w:jc w:val="left"/>
        <w:rPr>
          <w:szCs w:val="24"/>
        </w:rPr>
      </w:pPr>
    </w:p>
    <w:p w14:paraId="6785B326" w14:textId="500333F3" w:rsidR="00A21968" w:rsidRPr="00B720F7" w:rsidRDefault="00AF7393" w:rsidP="005C16B8">
      <w:pPr>
        <w:pStyle w:val="BulletPoint"/>
        <w:numPr>
          <w:ilvl w:val="0"/>
          <w:numId w:val="0"/>
        </w:numPr>
        <w:spacing w:before="0"/>
        <w:ind w:left="270" w:hanging="270"/>
        <w:jc w:val="left"/>
        <w:rPr>
          <w:szCs w:val="24"/>
        </w:rPr>
      </w:pPr>
      <w:sdt>
        <w:sdtPr>
          <w:rPr>
            <w:szCs w:val="24"/>
          </w:rPr>
          <w:id w:val="-289437045"/>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(i) any extension, increase or reinstatement of any commitment with respect to the Transferred</w:t>
      </w:r>
      <w:r w:rsidR="00411AD3">
        <w:rPr>
          <w:szCs w:val="24"/>
        </w:rPr>
        <w:t xml:space="preserve"> Rights or Assumed Obligations;</w:t>
      </w:r>
    </w:p>
    <w:p w14:paraId="0F369DA9" w14:textId="77777777" w:rsidR="00A21968" w:rsidRPr="00B720F7" w:rsidRDefault="00A21968" w:rsidP="005C16B8">
      <w:pPr>
        <w:pStyle w:val="BulletPoint"/>
        <w:numPr>
          <w:ilvl w:val="0"/>
          <w:numId w:val="0"/>
        </w:numPr>
        <w:spacing w:before="0"/>
        <w:ind w:left="270" w:hanging="270"/>
        <w:jc w:val="left"/>
        <w:rPr>
          <w:szCs w:val="24"/>
        </w:rPr>
      </w:pPr>
    </w:p>
    <w:p w14:paraId="3D4B229A" w14:textId="22B364B1" w:rsidR="00A21968" w:rsidRPr="00B720F7" w:rsidRDefault="00AF7393" w:rsidP="005C16B8">
      <w:pPr>
        <w:pStyle w:val="BulletPoint"/>
        <w:numPr>
          <w:ilvl w:val="0"/>
          <w:numId w:val="0"/>
        </w:numPr>
        <w:spacing w:before="0"/>
        <w:ind w:left="270" w:hanging="270"/>
        <w:jc w:val="left"/>
        <w:rPr>
          <w:szCs w:val="24"/>
        </w:rPr>
      </w:pPr>
      <w:sdt>
        <w:sdtPr>
          <w:rPr>
            <w:szCs w:val="24"/>
          </w:rPr>
          <w:id w:val="1158965062"/>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(ii) any reduction in the principal, the rate of interest or any fees or other amounts payable in respect of the Transferred Rights or Assumed Obligations, including, without li</w:t>
      </w:r>
      <w:r w:rsidR="00411AD3">
        <w:rPr>
          <w:szCs w:val="24"/>
        </w:rPr>
        <w:t>mitation, any Loan Forgiveness;</w:t>
      </w:r>
    </w:p>
    <w:p w14:paraId="067B4F5B" w14:textId="77777777" w:rsidR="00A21968" w:rsidRPr="00B720F7" w:rsidRDefault="00A21968" w:rsidP="005C16B8">
      <w:pPr>
        <w:pStyle w:val="BulletPoint"/>
        <w:numPr>
          <w:ilvl w:val="0"/>
          <w:numId w:val="0"/>
        </w:numPr>
        <w:spacing w:before="0"/>
        <w:ind w:left="270" w:hanging="270"/>
        <w:jc w:val="left"/>
        <w:rPr>
          <w:szCs w:val="24"/>
        </w:rPr>
      </w:pPr>
    </w:p>
    <w:p w14:paraId="43A00EA1" w14:textId="238903FB" w:rsidR="00A21968" w:rsidRPr="00B720F7" w:rsidRDefault="00AF7393" w:rsidP="005C16B8">
      <w:pPr>
        <w:pStyle w:val="BulletPoint"/>
        <w:numPr>
          <w:ilvl w:val="0"/>
          <w:numId w:val="0"/>
        </w:numPr>
        <w:spacing w:before="0"/>
        <w:ind w:left="270" w:hanging="270"/>
        <w:jc w:val="left"/>
        <w:rPr>
          <w:szCs w:val="24"/>
        </w:rPr>
      </w:pPr>
      <w:sdt>
        <w:sdtPr>
          <w:rPr>
            <w:szCs w:val="24"/>
          </w:rPr>
          <w:id w:val="1112400786"/>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(iii) any delay or postponement of any date scheduled for any payment of principal, interest, fees or other amounts payable in respect of the Transferred Rights or Assumed Obligations or any reduction in the amount of, waiver</w:t>
      </w:r>
      <w:r w:rsidR="00411AD3">
        <w:rPr>
          <w:szCs w:val="24"/>
        </w:rPr>
        <w:t xml:space="preserve"> or excuse of any such payment;</w:t>
      </w:r>
    </w:p>
    <w:p w14:paraId="6E5E15A5" w14:textId="77777777" w:rsidR="00A21968" w:rsidRPr="00B720F7" w:rsidRDefault="00A21968" w:rsidP="005C16B8">
      <w:pPr>
        <w:pStyle w:val="BulletPoint"/>
        <w:numPr>
          <w:ilvl w:val="0"/>
          <w:numId w:val="0"/>
        </w:numPr>
        <w:spacing w:before="0"/>
        <w:ind w:left="270" w:hanging="270"/>
        <w:jc w:val="left"/>
        <w:rPr>
          <w:szCs w:val="24"/>
        </w:rPr>
      </w:pPr>
    </w:p>
    <w:p w14:paraId="2A714F02" w14:textId="0788F052" w:rsidR="00A21968" w:rsidRPr="00B720F7" w:rsidRDefault="00AF7393" w:rsidP="005C16B8">
      <w:pPr>
        <w:pStyle w:val="BulletPoint"/>
        <w:numPr>
          <w:ilvl w:val="0"/>
          <w:numId w:val="0"/>
        </w:numPr>
        <w:spacing w:before="0"/>
        <w:ind w:left="270" w:hanging="270"/>
        <w:jc w:val="left"/>
        <w:rPr>
          <w:szCs w:val="24"/>
        </w:rPr>
      </w:pPr>
      <w:sdt>
        <w:sdtPr>
          <w:rPr>
            <w:szCs w:val="24"/>
          </w:rPr>
          <w:id w:val="-1318416038"/>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(iv) any change of the pro rata sharing provisions or application of proceeds provisions in the Credit Documents affecting the Transferred Rights or Assume</w:t>
      </w:r>
      <w:r w:rsidR="00411AD3">
        <w:rPr>
          <w:szCs w:val="24"/>
        </w:rPr>
        <w:t>d Obligations;</w:t>
      </w:r>
    </w:p>
    <w:p w14:paraId="57F0C123" w14:textId="77777777" w:rsidR="00A21968" w:rsidRPr="00B720F7" w:rsidRDefault="00A21968" w:rsidP="005C16B8">
      <w:pPr>
        <w:pStyle w:val="BulletPoint"/>
        <w:numPr>
          <w:ilvl w:val="0"/>
          <w:numId w:val="0"/>
        </w:numPr>
        <w:spacing w:before="0"/>
        <w:ind w:left="270" w:hanging="270"/>
        <w:jc w:val="left"/>
        <w:rPr>
          <w:szCs w:val="24"/>
        </w:rPr>
      </w:pPr>
    </w:p>
    <w:p w14:paraId="4A2E4B82" w14:textId="1441ED2D" w:rsidR="00A21968" w:rsidRPr="00B720F7" w:rsidRDefault="00AF7393" w:rsidP="005C16B8">
      <w:pPr>
        <w:pStyle w:val="BulletPoint"/>
        <w:numPr>
          <w:ilvl w:val="0"/>
          <w:numId w:val="0"/>
        </w:numPr>
        <w:spacing w:before="0"/>
        <w:ind w:left="270" w:hanging="270"/>
        <w:jc w:val="left"/>
        <w:rPr>
          <w:szCs w:val="24"/>
        </w:rPr>
      </w:pPr>
      <w:sdt>
        <w:sdtPr>
          <w:rPr>
            <w:szCs w:val="24"/>
          </w:rPr>
          <w:id w:val="-1709182946"/>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(v) any release of all or substantially all of the collateral provided for the Transferred Rights or Assumed Obligations in any transaction or series of transactions or all or substantially all of the value of the Guaranties in respect of the Transferred</w:t>
      </w:r>
      <w:r w:rsidR="00411AD3">
        <w:rPr>
          <w:szCs w:val="24"/>
        </w:rPr>
        <w:t xml:space="preserve"> Rights or Assumed Obligations;</w:t>
      </w:r>
    </w:p>
    <w:p w14:paraId="6D13945D" w14:textId="77777777" w:rsidR="00A21968" w:rsidRPr="00B720F7" w:rsidRDefault="00A21968" w:rsidP="005C16B8">
      <w:pPr>
        <w:pStyle w:val="BulletPoint"/>
        <w:numPr>
          <w:ilvl w:val="0"/>
          <w:numId w:val="0"/>
        </w:numPr>
        <w:spacing w:before="0"/>
        <w:ind w:left="270" w:hanging="270"/>
        <w:jc w:val="left"/>
        <w:rPr>
          <w:szCs w:val="24"/>
        </w:rPr>
      </w:pPr>
    </w:p>
    <w:p w14:paraId="232FA155" w14:textId="372337B5" w:rsidR="00A21968" w:rsidRPr="00B720F7" w:rsidRDefault="00AF7393" w:rsidP="005C16B8">
      <w:pPr>
        <w:pStyle w:val="BulletPoint"/>
        <w:numPr>
          <w:ilvl w:val="0"/>
          <w:numId w:val="0"/>
        </w:numPr>
        <w:spacing w:before="0"/>
        <w:ind w:left="270" w:hanging="270"/>
        <w:jc w:val="left"/>
        <w:rPr>
          <w:szCs w:val="24"/>
        </w:rPr>
      </w:pPr>
      <w:sdt>
        <w:sdtPr>
          <w:rPr>
            <w:szCs w:val="24"/>
          </w:rPr>
          <w:id w:val="239526896"/>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(vi) the waiver of any condition precedent to closing, effectiveness or funding under the Credit Agreement to the extent applicable to the Transferred</w:t>
      </w:r>
      <w:r w:rsidR="00411AD3">
        <w:rPr>
          <w:szCs w:val="24"/>
        </w:rPr>
        <w:t xml:space="preserve"> Rights or Assumed Obligations;</w:t>
      </w:r>
    </w:p>
    <w:p w14:paraId="754D02EE" w14:textId="77777777" w:rsidR="00A21968" w:rsidRPr="00B720F7" w:rsidRDefault="00A21968" w:rsidP="005C16B8">
      <w:pPr>
        <w:pStyle w:val="BulletPoint"/>
        <w:numPr>
          <w:ilvl w:val="0"/>
          <w:numId w:val="0"/>
        </w:numPr>
        <w:spacing w:before="0"/>
        <w:ind w:left="270" w:hanging="270"/>
        <w:jc w:val="left"/>
        <w:rPr>
          <w:szCs w:val="24"/>
        </w:rPr>
      </w:pPr>
    </w:p>
    <w:p w14:paraId="2676687D" w14:textId="5A869C37" w:rsidR="00A21968" w:rsidRPr="00B720F7" w:rsidRDefault="00AF7393" w:rsidP="005C16B8">
      <w:pPr>
        <w:pStyle w:val="BulletPoint"/>
        <w:numPr>
          <w:ilvl w:val="0"/>
          <w:numId w:val="0"/>
        </w:numPr>
        <w:spacing w:before="0"/>
        <w:ind w:left="270" w:hanging="270"/>
        <w:jc w:val="left"/>
        <w:rPr>
          <w:szCs w:val="24"/>
        </w:rPr>
      </w:pPr>
      <w:sdt>
        <w:sdtPr>
          <w:rPr>
            <w:szCs w:val="24"/>
          </w:rPr>
          <w:id w:val="-945850450"/>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(vii) any amendment to, modification of, waiver of or consent to any departure from any provision in any Credit Document, including any mandatory prepayment, relating to Borrower’s certifications and covenants in Section 2 (CARES Act Borrower Eligibility Certifications and Covenants) or Section 3 (FRA and Regulation A For Borrower Eligibility Certifications) of the Borrowe</w:t>
      </w:r>
      <w:r w:rsidR="00411AD3">
        <w:rPr>
          <w:szCs w:val="24"/>
        </w:rPr>
        <w:t>r Certifications and Covenants;</w:t>
      </w:r>
    </w:p>
    <w:p w14:paraId="279338FC" w14:textId="77777777" w:rsidR="00A21968" w:rsidRPr="00B720F7" w:rsidRDefault="00A21968" w:rsidP="005C16B8">
      <w:pPr>
        <w:pStyle w:val="BulletPoint"/>
        <w:numPr>
          <w:ilvl w:val="0"/>
          <w:numId w:val="0"/>
        </w:numPr>
        <w:spacing w:before="0"/>
        <w:ind w:left="270" w:hanging="270"/>
        <w:jc w:val="left"/>
        <w:rPr>
          <w:szCs w:val="24"/>
        </w:rPr>
      </w:pPr>
    </w:p>
    <w:p w14:paraId="55FDF084" w14:textId="1BF13FCA" w:rsidR="00A21968" w:rsidRPr="00B720F7" w:rsidRDefault="00AF7393" w:rsidP="005C16B8">
      <w:pPr>
        <w:pStyle w:val="BulletPoint"/>
        <w:numPr>
          <w:ilvl w:val="0"/>
          <w:numId w:val="0"/>
        </w:numPr>
        <w:spacing w:before="0"/>
        <w:ind w:left="270" w:hanging="270"/>
        <w:jc w:val="left"/>
        <w:rPr>
          <w:szCs w:val="24"/>
        </w:rPr>
      </w:pPr>
      <w:sdt>
        <w:sdtPr>
          <w:rPr>
            <w:szCs w:val="24"/>
          </w:rPr>
          <w:id w:val="-1249579601"/>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w:t>
      </w:r>
      <w:bookmarkStart w:id="1" w:name="_Hlk49259659"/>
      <w:r w:rsidR="00A21968" w:rsidRPr="00B720F7">
        <w:rPr>
          <w:szCs w:val="24"/>
        </w:rPr>
        <w:t>(viii) any amendment to, modification of, waiver of or consent to any departure from any provision in any Credit Document requiring the periodic financial reporting by Borrower or any other Obligor, other than any consent to the temporary delay in (but not the permanent waiver of) delivery of any such periodic financial reporting (A) originally required to be delivered on or before September 30, 2020 or (B) originally required to be delivered after September 30, 2020 for a period not to exceed ninety (90) days after such orig</w:t>
      </w:r>
      <w:r w:rsidR="00411AD3">
        <w:rPr>
          <w:szCs w:val="24"/>
        </w:rPr>
        <w:t>inal delivery requirement date;</w:t>
      </w:r>
    </w:p>
    <w:p w14:paraId="0A00D10C" w14:textId="77777777" w:rsidR="00A21968" w:rsidRPr="00B720F7" w:rsidRDefault="00A21968" w:rsidP="005C16B8">
      <w:pPr>
        <w:pStyle w:val="BulletPoint"/>
        <w:numPr>
          <w:ilvl w:val="0"/>
          <w:numId w:val="0"/>
        </w:numPr>
        <w:spacing w:before="0"/>
        <w:ind w:left="270" w:hanging="270"/>
        <w:jc w:val="left"/>
        <w:rPr>
          <w:szCs w:val="24"/>
        </w:rPr>
      </w:pPr>
    </w:p>
    <w:bookmarkEnd w:id="1"/>
    <w:p w14:paraId="5C606BB6" w14:textId="500EA1F5" w:rsidR="00A21968" w:rsidRPr="00B720F7" w:rsidRDefault="00AF7393" w:rsidP="005C16B8">
      <w:pPr>
        <w:pStyle w:val="BulletPoint"/>
        <w:numPr>
          <w:ilvl w:val="0"/>
          <w:numId w:val="0"/>
        </w:numPr>
        <w:spacing w:before="0"/>
        <w:ind w:left="270" w:hanging="270"/>
        <w:jc w:val="left"/>
        <w:rPr>
          <w:szCs w:val="24"/>
        </w:rPr>
      </w:pPr>
      <w:sdt>
        <w:sdtPr>
          <w:rPr>
            <w:szCs w:val="24"/>
          </w:rPr>
          <w:id w:val="-881703770"/>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w:t>
      </w:r>
      <w:bookmarkStart w:id="2" w:name="_Hlk49259693"/>
      <w:r w:rsidR="00A21968" w:rsidRPr="00B720F7">
        <w:rPr>
          <w:szCs w:val="24"/>
        </w:rPr>
        <w:t>(ix) the express subordination of (A) the Loans or (B) any Encumbrance in or over all or substantially all of the Loan Collateral that has been, or is purported to have been, granted (or otherwise created) to or for the benefit of the Lenders under the Credit Documents</w:t>
      </w:r>
      <w:bookmarkEnd w:id="2"/>
      <w:r w:rsidR="00411AD3">
        <w:rPr>
          <w:szCs w:val="24"/>
        </w:rPr>
        <w:t>;</w:t>
      </w:r>
    </w:p>
    <w:p w14:paraId="7A11015A" w14:textId="77777777" w:rsidR="00A21968" w:rsidRPr="00B720F7" w:rsidRDefault="00A21968" w:rsidP="005C16B8">
      <w:pPr>
        <w:pStyle w:val="BulletPoint"/>
        <w:numPr>
          <w:ilvl w:val="0"/>
          <w:numId w:val="0"/>
        </w:numPr>
        <w:spacing w:before="0"/>
        <w:ind w:left="270" w:hanging="270"/>
        <w:jc w:val="left"/>
        <w:rPr>
          <w:szCs w:val="24"/>
        </w:rPr>
      </w:pPr>
    </w:p>
    <w:p w14:paraId="796DCA89" w14:textId="1EDE9B41" w:rsidR="00A21968" w:rsidRPr="00B720F7" w:rsidRDefault="00AF7393" w:rsidP="005C16B8">
      <w:pPr>
        <w:pStyle w:val="BulletPoint"/>
        <w:numPr>
          <w:ilvl w:val="0"/>
          <w:numId w:val="0"/>
        </w:numPr>
        <w:spacing w:before="0"/>
        <w:ind w:left="270" w:hanging="270"/>
        <w:jc w:val="left"/>
        <w:rPr>
          <w:szCs w:val="24"/>
        </w:rPr>
      </w:pPr>
      <w:sdt>
        <w:sdtPr>
          <w:rPr>
            <w:szCs w:val="24"/>
          </w:rPr>
          <w:id w:val="-305628063"/>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w:t>
      </w:r>
      <w:bookmarkStart w:id="3" w:name="_Hlk49259773"/>
      <w:r w:rsidR="00A21968" w:rsidRPr="00B720F7">
        <w:rPr>
          <w:szCs w:val="24"/>
        </w:rPr>
        <w:t>(x) any greater restriction on the ability of, or any additional consent necessary for, any Lender to assign, participate or pledge its rights or obligat</w:t>
      </w:r>
      <w:r w:rsidR="00411AD3">
        <w:rPr>
          <w:szCs w:val="24"/>
        </w:rPr>
        <w:t>ions under any Credit Document;</w:t>
      </w:r>
    </w:p>
    <w:p w14:paraId="03FFD8E4" w14:textId="77777777" w:rsidR="00A21968" w:rsidRPr="00B720F7" w:rsidRDefault="00A21968" w:rsidP="005C16B8">
      <w:pPr>
        <w:pStyle w:val="BulletPoint"/>
        <w:numPr>
          <w:ilvl w:val="0"/>
          <w:numId w:val="0"/>
        </w:numPr>
        <w:spacing w:before="0"/>
        <w:ind w:left="270" w:hanging="270"/>
        <w:jc w:val="left"/>
        <w:rPr>
          <w:szCs w:val="24"/>
        </w:rPr>
      </w:pPr>
    </w:p>
    <w:p w14:paraId="093064B2" w14:textId="7EEC2ACE" w:rsidR="00A21968" w:rsidRPr="00B720F7" w:rsidRDefault="00AF7393" w:rsidP="005C16B8">
      <w:pPr>
        <w:pStyle w:val="BulletPoint"/>
        <w:numPr>
          <w:ilvl w:val="0"/>
          <w:numId w:val="0"/>
        </w:numPr>
        <w:spacing w:before="0"/>
        <w:ind w:left="270" w:hanging="270"/>
        <w:jc w:val="left"/>
        <w:rPr>
          <w:szCs w:val="24"/>
        </w:rPr>
      </w:pPr>
      <w:sdt>
        <w:sdtPr>
          <w:rPr>
            <w:szCs w:val="24"/>
          </w:rPr>
          <w:id w:val="-565117152"/>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(xi) an adverse effect on the Transferred Rights that would be disproportionate to the effect on any other class of oblig</w:t>
      </w:r>
      <w:r w:rsidR="00411AD3">
        <w:rPr>
          <w:szCs w:val="24"/>
        </w:rPr>
        <w:t>ations under a Credit Document;</w:t>
      </w:r>
    </w:p>
    <w:bookmarkEnd w:id="3"/>
    <w:p w14:paraId="2093A72E" w14:textId="77777777" w:rsidR="00A21968" w:rsidRPr="00B720F7" w:rsidRDefault="00A21968" w:rsidP="005C16B8">
      <w:pPr>
        <w:pStyle w:val="BulletPoint"/>
        <w:numPr>
          <w:ilvl w:val="0"/>
          <w:numId w:val="0"/>
        </w:numPr>
        <w:spacing w:before="0"/>
        <w:ind w:left="270" w:hanging="270"/>
        <w:jc w:val="left"/>
        <w:rPr>
          <w:szCs w:val="24"/>
        </w:rPr>
      </w:pPr>
    </w:p>
    <w:p w14:paraId="5B81511F" w14:textId="11D3417B" w:rsidR="00A21968" w:rsidRPr="00B720F7" w:rsidRDefault="00AF7393" w:rsidP="005C16B8">
      <w:pPr>
        <w:pStyle w:val="BulletPoint"/>
        <w:numPr>
          <w:ilvl w:val="0"/>
          <w:numId w:val="0"/>
        </w:numPr>
        <w:spacing w:before="0"/>
        <w:ind w:left="270" w:hanging="270"/>
        <w:jc w:val="left"/>
        <w:rPr>
          <w:szCs w:val="24"/>
        </w:rPr>
      </w:pPr>
      <w:sdt>
        <w:sdtPr>
          <w:rPr>
            <w:szCs w:val="24"/>
          </w:rPr>
          <w:id w:val="-335306626"/>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bookmarkStart w:id="4" w:name="_Hlk49259797"/>
      <w:r w:rsidR="00A21968" w:rsidRPr="00B720F7">
        <w:rPr>
          <w:szCs w:val="24"/>
        </w:rPr>
        <w:t xml:space="preserve">  (xii) any amendment to, modification of, waiver of or consent to any departure with respect to any provision in any Credit Document that provides a default or event of default upon the acceleration of any other indebtedness owed by Borrower to Seller or a Commonly Controlled Affiliate of Seller (any such default or event of default, a “</w:t>
      </w:r>
      <w:r w:rsidR="00A21968" w:rsidRPr="00B720F7">
        <w:rPr>
          <w:b/>
          <w:szCs w:val="24"/>
        </w:rPr>
        <w:t>Seller Debt Cross-Acceleration</w:t>
      </w:r>
      <w:r w:rsidR="00411AD3">
        <w:rPr>
          <w:szCs w:val="24"/>
        </w:rPr>
        <w:t>”);</w:t>
      </w:r>
    </w:p>
    <w:p w14:paraId="0B12020F" w14:textId="77777777" w:rsidR="00A21968" w:rsidRPr="00B720F7" w:rsidRDefault="00A21968" w:rsidP="005C16B8">
      <w:pPr>
        <w:pStyle w:val="BulletPoint"/>
        <w:numPr>
          <w:ilvl w:val="0"/>
          <w:numId w:val="0"/>
        </w:numPr>
        <w:spacing w:before="0"/>
        <w:ind w:left="270" w:hanging="270"/>
        <w:jc w:val="left"/>
        <w:rPr>
          <w:szCs w:val="24"/>
        </w:rPr>
      </w:pPr>
    </w:p>
    <w:p w14:paraId="4CE5AD39" w14:textId="67174846" w:rsidR="00A21968" w:rsidRPr="00B720F7" w:rsidRDefault="00AF7393" w:rsidP="005C16B8">
      <w:pPr>
        <w:pStyle w:val="BulletPoint"/>
        <w:numPr>
          <w:ilvl w:val="0"/>
          <w:numId w:val="0"/>
        </w:numPr>
        <w:spacing w:before="0"/>
        <w:ind w:left="270" w:hanging="270"/>
        <w:jc w:val="left"/>
        <w:rPr>
          <w:szCs w:val="24"/>
        </w:rPr>
      </w:pPr>
      <w:sdt>
        <w:sdtPr>
          <w:rPr>
            <w:szCs w:val="24"/>
          </w:rPr>
          <w:id w:val="1497218620"/>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(xiii) the declaration, or failure to declare, any obligations of Borrower due and payable upon the occurrence and during the continuance of a </w:t>
      </w:r>
      <w:r w:rsidR="00411AD3">
        <w:rPr>
          <w:szCs w:val="24"/>
        </w:rPr>
        <w:t>Seller Debt Cross-Acceleration;</w:t>
      </w:r>
    </w:p>
    <w:bookmarkEnd w:id="4"/>
    <w:p w14:paraId="22335141" w14:textId="77777777" w:rsidR="00A21968" w:rsidRPr="00B720F7" w:rsidRDefault="00A21968" w:rsidP="005C16B8">
      <w:pPr>
        <w:pStyle w:val="BulletPoint"/>
        <w:numPr>
          <w:ilvl w:val="0"/>
          <w:numId w:val="0"/>
        </w:numPr>
        <w:spacing w:before="0"/>
        <w:ind w:left="270" w:hanging="270"/>
        <w:jc w:val="left"/>
        <w:rPr>
          <w:szCs w:val="24"/>
        </w:rPr>
      </w:pPr>
    </w:p>
    <w:p w14:paraId="25C0F385" w14:textId="7CC3E533" w:rsidR="00A21968" w:rsidRPr="00B720F7" w:rsidRDefault="00AF7393" w:rsidP="005C16B8">
      <w:pPr>
        <w:pStyle w:val="BulletPoint"/>
        <w:numPr>
          <w:ilvl w:val="0"/>
          <w:numId w:val="0"/>
        </w:numPr>
        <w:spacing w:before="0"/>
        <w:ind w:left="270" w:hanging="270"/>
        <w:jc w:val="left"/>
        <w:rPr>
          <w:szCs w:val="24"/>
        </w:rPr>
      </w:pPr>
      <w:sdt>
        <w:sdtPr>
          <w:rPr>
            <w:szCs w:val="24"/>
          </w:rPr>
          <w:id w:val="1502941564"/>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bookmarkStart w:id="5" w:name="_Hlk49259830"/>
      <w:r w:rsidR="00A21968" w:rsidRPr="00B720F7">
        <w:rPr>
          <w:szCs w:val="24"/>
        </w:rPr>
        <w:t xml:space="preserve">  (xiv) the exercise, or failure to exercise, of any rights or remedies with respect to any of the Loan Collateral at any time that Seller or any Commonly Controlled Affiliate of Seller, or any of their respective agents or representatives, is exercising rights or remedies with respect to any collateral securing, or purporting to secure, any indebtedness owed by Borrower to Seller or any Commonly Controlled Affiliate of Seller the default under which has resulted in a</w:t>
      </w:r>
      <w:r w:rsidR="00411AD3">
        <w:rPr>
          <w:szCs w:val="24"/>
        </w:rPr>
        <w:t xml:space="preserve"> Seller Debt Cross-Acceleration;</w:t>
      </w:r>
      <w:r w:rsidR="00A21968" w:rsidRPr="00B720F7">
        <w:rPr>
          <w:szCs w:val="24"/>
        </w:rPr>
        <w:t xml:space="preserve"> and </w:t>
      </w:r>
      <w:bookmarkEnd w:id="5"/>
    </w:p>
    <w:p w14:paraId="764B050A" w14:textId="77777777" w:rsidR="00A21968" w:rsidRPr="00B720F7" w:rsidRDefault="00A21968" w:rsidP="005C16B8">
      <w:pPr>
        <w:pStyle w:val="BulletPoint"/>
        <w:numPr>
          <w:ilvl w:val="0"/>
          <w:numId w:val="0"/>
        </w:numPr>
        <w:spacing w:before="0"/>
        <w:ind w:left="270" w:hanging="270"/>
        <w:jc w:val="left"/>
        <w:rPr>
          <w:szCs w:val="24"/>
        </w:rPr>
      </w:pPr>
    </w:p>
    <w:p w14:paraId="370D34AA" w14:textId="49C52C70" w:rsidR="006C3D0F" w:rsidRDefault="00AF7393" w:rsidP="005C16B8">
      <w:pPr>
        <w:pStyle w:val="BulletPoint"/>
        <w:numPr>
          <w:ilvl w:val="0"/>
          <w:numId w:val="0"/>
        </w:numPr>
        <w:spacing w:before="0"/>
        <w:ind w:left="270" w:hanging="270"/>
        <w:jc w:val="left"/>
        <w:rPr>
          <w:szCs w:val="24"/>
        </w:rPr>
      </w:pPr>
      <w:sdt>
        <w:sdtPr>
          <w:rPr>
            <w:szCs w:val="24"/>
          </w:rPr>
          <w:id w:val="458232821"/>
          <w14:checkbox>
            <w14:checked w14:val="0"/>
            <w14:checkedState w14:val="2612" w14:font="MS Gothic"/>
            <w14:uncheckedState w14:val="2610" w14:font="MS Gothic"/>
          </w14:checkbox>
        </w:sdtPr>
        <w:sdtEndPr/>
        <w:sdtContent>
          <w:r w:rsidR="00A21968" w:rsidRPr="00B720F7">
            <w:rPr>
              <w:rFonts w:ascii="Segoe UI Symbol" w:eastAsia="MS Gothic" w:hAnsi="Segoe UI Symbol" w:cs="Segoe UI Symbol"/>
              <w:szCs w:val="24"/>
            </w:rPr>
            <w:t>☐</w:t>
          </w:r>
        </w:sdtContent>
      </w:sdt>
      <w:r w:rsidR="00A21968" w:rsidRPr="00B720F7">
        <w:rPr>
          <w:szCs w:val="24"/>
        </w:rPr>
        <w:t xml:space="preserve">  </w:t>
      </w:r>
      <w:bookmarkStart w:id="6" w:name="_Hlk49259843"/>
      <w:r w:rsidR="00A21968" w:rsidRPr="00B720F7">
        <w:rPr>
          <w:szCs w:val="24"/>
        </w:rPr>
        <w:t>(xv) any change to any lender voting approval level under or pursuant to any Credit Document with respect to any of the foregoing.</w:t>
      </w:r>
      <w:bookmarkEnd w:id="6"/>
    </w:p>
    <w:p w14:paraId="2C469C48" w14:textId="77777777" w:rsidR="006C3D0F" w:rsidRDefault="006C3D0F">
      <w:pPr>
        <w:rPr>
          <w:rFonts w:ascii="Times New Roman" w:eastAsia="Times New Roman" w:hAnsi="Times New Roman" w:cs="Times New Roman"/>
          <w:sz w:val="24"/>
          <w:szCs w:val="24"/>
        </w:rPr>
      </w:pPr>
      <w:r>
        <w:rPr>
          <w:szCs w:val="24"/>
        </w:rPr>
        <w:br w:type="page"/>
      </w:r>
    </w:p>
    <w:p w14:paraId="631F7B2C" w14:textId="77777777" w:rsidR="00A21968" w:rsidRPr="00B720F7" w:rsidRDefault="00A21968" w:rsidP="005C16B8">
      <w:pPr>
        <w:pStyle w:val="BulletPoint"/>
        <w:numPr>
          <w:ilvl w:val="0"/>
          <w:numId w:val="0"/>
        </w:numPr>
        <w:spacing w:before="0"/>
        <w:ind w:left="270" w:hanging="270"/>
        <w:jc w:val="left"/>
        <w:rPr>
          <w:szCs w:val="24"/>
        </w:rPr>
      </w:pPr>
    </w:p>
    <w:p w14:paraId="5090C2BA" w14:textId="2DE8512B" w:rsidR="00A21968" w:rsidRPr="00B720F7" w:rsidRDefault="00A21968" w:rsidP="005C16B8">
      <w:pPr>
        <w:spacing w:after="360"/>
        <w:jc w:val="both"/>
        <w:rPr>
          <w:rFonts w:ascii="Times New Roman" w:hAnsi="Times New Roman" w:cs="Times New Roman"/>
          <w:sz w:val="24"/>
          <w:szCs w:val="24"/>
        </w:rPr>
      </w:pPr>
      <w:r w:rsidRPr="00B720F7">
        <w:rPr>
          <w:rFonts w:ascii="Times New Roman" w:hAnsi="Times New Roman" w:cs="Times New Roman"/>
          <w:b/>
          <w:sz w:val="24"/>
          <w:szCs w:val="24"/>
          <w:u w:val="single"/>
        </w:rPr>
        <w:t>Lender</w:t>
      </w:r>
      <w:r w:rsidR="005C16B8">
        <w:rPr>
          <w:rFonts w:ascii="Times New Roman" w:hAnsi="Times New Roman" w:cs="Times New Roman"/>
          <w:b/>
          <w:sz w:val="24"/>
          <w:szCs w:val="24"/>
          <w:u w:val="single"/>
        </w:rPr>
        <w:t xml:space="preserve"> Name</w:t>
      </w:r>
      <w:r w:rsidRPr="00B720F7">
        <w:rPr>
          <w:rFonts w:ascii="Times New Roman" w:hAnsi="Times New Roman" w:cs="Times New Roman"/>
          <w:sz w:val="24"/>
          <w:szCs w:val="24"/>
        </w:rPr>
        <w:t xml:space="preserve">: </w:t>
      </w:r>
      <w:r w:rsidR="005C16B8" w:rsidRPr="00B720F7">
        <w:rPr>
          <w:rFonts w:ascii="Times New Roman" w:hAnsi="Times New Roman" w:cs="Times New Roman"/>
          <w:sz w:val="24"/>
          <w:szCs w:val="24"/>
        </w:rPr>
        <w:t>__________________________</w:t>
      </w:r>
      <w:r w:rsidR="005C16B8">
        <w:rPr>
          <w:rFonts w:ascii="Times New Roman" w:hAnsi="Times New Roman" w:cs="Times New Roman"/>
          <w:sz w:val="24"/>
          <w:szCs w:val="24"/>
        </w:rPr>
        <w:t>_______________</w:t>
      </w:r>
    </w:p>
    <w:p w14:paraId="36D56898" w14:textId="62810758" w:rsidR="00A21968" w:rsidRPr="00B720F7" w:rsidRDefault="005C16B8" w:rsidP="005C16B8">
      <w:pPr>
        <w:spacing w:after="360"/>
        <w:jc w:val="both"/>
        <w:rPr>
          <w:rFonts w:ascii="Times New Roman" w:hAnsi="Times New Roman" w:cs="Times New Roman"/>
          <w:sz w:val="24"/>
          <w:szCs w:val="24"/>
        </w:rPr>
      </w:pPr>
      <w:r w:rsidRPr="005C16B8">
        <w:rPr>
          <w:rFonts w:ascii="Times New Roman" w:hAnsi="Times New Roman" w:cs="Times New Roman"/>
          <w:sz w:val="24"/>
          <w:szCs w:val="24"/>
        </w:rPr>
        <w:t>By (Signature)</w:t>
      </w:r>
      <w:r w:rsidR="00A21968" w:rsidRPr="005C16B8">
        <w:rPr>
          <w:rFonts w:ascii="Times New Roman" w:hAnsi="Times New Roman" w:cs="Times New Roman"/>
          <w:sz w:val="24"/>
          <w:szCs w:val="24"/>
        </w:rPr>
        <w:t xml:space="preserve">: </w:t>
      </w:r>
      <w:r w:rsidR="00A21968" w:rsidRPr="00B720F7">
        <w:rPr>
          <w:rFonts w:ascii="Times New Roman" w:hAnsi="Times New Roman" w:cs="Times New Roman"/>
          <w:sz w:val="24"/>
          <w:szCs w:val="24"/>
        </w:rPr>
        <w:t>__________________________</w:t>
      </w:r>
      <w:r>
        <w:rPr>
          <w:rFonts w:ascii="Times New Roman" w:hAnsi="Times New Roman" w:cs="Times New Roman"/>
          <w:sz w:val="24"/>
          <w:szCs w:val="24"/>
        </w:rPr>
        <w:t>_______________</w:t>
      </w:r>
    </w:p>
    <w:p w14:paraId="6400AC26" w14:textId="68DE7644" w:rsidR="00A21968" w:rsidRPr="00B720F7" w:rsidRDefault="00A21968" w:rsidP="005C16B8">
      <w:pPr>
        <w:spacing w:after="360"/>
        <w:jc w:val="both"/>
        <w:rPr>
          <w:rFonts w:ascii="Times New Roman" w:hAnsi="Times New Roman" w:cs="Times New Roman"/>
          <w:sz w:val="24"/>
          <w:szCs w:val="24"/>
        </w:rPr>
      </w:pPr>
      <w:r w:rsidRPr="00B720F7">
        <w:rPr>
          <w:rFonts w:ascii="Times New Roman" w:hAnsi="Times New Roman" w:cs="Times New Roman"/>
          <w:sz w:val="24"/>
          <w:szCs w:val="24"/>
        </w:rPr>
        <w:t>Name</w:t>
      </w:r>
      <w:r w:rsidR="005C16B8">
        <w:rPr>
          <w:rFonts w:ascii="Times New Roman" w:hAnsi="Times New Roman" w:cs="Times New Roman"/>
          <w:sz w:val="24"/>
          <w:szCs w:val="24"/>
        </w:rPr>
        <w:t xml:space="preserve">: </w:t>
      </w:r>
      <w:r w:rsidRPr="00B720F7">
        <w:rPr>
          <w:rFonts w:ascii="Times New Roman" w:hAnsi="Times New Roman" w:cs="Times New Roman"/>
          <w:sz w:val="24"/>
          <w:szCs w:val="24"/>
        </w:rPr>
        <w:t>_______________________</w:t>
      </w:r>
      <w:r w:rsidR="005C16B8">
        <w:rPr>
          <w:rFonts w:ascii="Times New Roman" w:hAnsi="Times New Roman" w:cs="Times New Roman"/>
          <w:sz w:val="24"/>
          <w:szCs w:val="24"/>
        </w:rPr>
        <w:t>_</w:t>
      </w:r>
      <w:r w:rsidR="00640E2E">
        <w:rPr>
          <w:rFonts w:ascii="Times New Roman" w:hAnsi="Times New Roman" w:cs="Times New Roman"/>
          <w:sz w:val="24"/>
          <w:szCs w:val="24"/>
        </w:rPr>
        <w:t>________________________</w:t>
      </w:r>
    </w:p>
    <w:p w14:paraId="08D925FE" w14:textId="20FFC905" w:rsidR="00A21968" w:rsidRPr="00B720F7" w:rsidRDefault="00A21968" w:rsidP="005C16B8">
      <w:pPr>
        <w:spacing w:after="360"/>
        <w:jc w:val="both"/>
        <w:rPr>
          <w:rFonts w:ascii="Times New Roman" w:hAnsi="Times New Roman" w:cs="Times New Roman"/>
          <w:sz w:val="24"/>
          <w:szCs w:val="24"/>
        </w:rPr>
      </w:pPr>
      <w:r w:rsidRPr="00B720F7">
        <w:rPr>
          <w:rFonts w:ascii="Times New Roman" w:hAnsi="Times New Roman" w:cs="Times New Roman"/>
          <w:sz w:val="24"/>
          <w:szCs w:val="24"/>
        </w:rPr>
        <w:t>Title</w:t>
      </w:r>
      <w:r w:rsidR="005C16B8">
        <w:rPr>
          <w:rFonts w:ascii="Times New Roman" w:hAnsi="Times New Roman" w:cs="Times New Roman"/>
          <w:sz w:val="24"/>
          <w:szCs w:val="24"/>
        </w:rPr>
        <w:t>: _________________________</w:t>
      </w:r>
      <w:r w:rsidR="00640E2E">
        <w:rPr>
          <w:rFonts w:ascii="Times New Roman" w:hAnsi="Times New Roman" w:cs="Times New Roman"/>
          <w:sz w:val="24"/>
          <w:szCs w:val="24"/>
        </w:rPr>
        <w:t>________________________</w:t>
      </w:r>
    </w:p>
    <w:p w14:paraId="0D93423D" w14:textId="2F9688AD" w:rsidR="00A21968" w:rsidRPr="00B720F7" w:rsidRDefault="005C16B8" w:rsidP="005C16B8">
      <w:pPr>
        <w:spacing w:after="360"/>
        <w:jc w:val="both"/>
        <w:rPr>
          <w:rFonts w:ascii="Times New Roman" w:hAnsi="Times New Roman" w:cs="Times New Roman"/>
          <w:sz w:val="24"/>
          <w:szCs w:val="24"/>
        </w:rPr>
      </w:pPr>
      <w:r>
        <w:rPr>
          <w:rFonts w:ascii="Times New Roman" w:hAnsi="Times New Roman" w:cs="Times New Roman"/>
          <w:sz w:val="24"/>
          <w:szCs w:val="24"/>
        </w:rPr>
        <w:t xml:space="preserve">Date: </w:t>
      </w:r>
      <w:r w:rsidR="00A21968" w:rsidRPr="00B720F7">
        <w:rPr>
          <w:rFonts w:ascii="Times New Roman" w:hAnsi="Times New Roman" w:cs="Times New Roman"/>
          <w:sz w:val="24"/>
          <w:szCs w:val="24"/>
        </w:rPr>
        <w:t>________________________</w:t>
      </w:r>
      <w:r>
        <w:rPr>
          <w:rFonts w:ascii="Times New Roman" w:hAnsi="Times New Roman" w:cs="Times New Roman"/>
          <w:sz w:val="24"/>
          <w:szCs w:val="24"/>
        </w:rPr>
        <w:t>_________________________</w:t>
      </w:r>
    </w:p>
    <w:p w14:paraId="5F01A038" w14:textId="20E02D8C" w:rsidR="0089471A" w:rsidRPr="000A109A" w:rsidRDefault="0089471A" w:rsidP="006405CE">
      <w:pPr>
        <w:rPr>
          <w:rFonts w:ascii="Times New Roman" w:hAnsi="Times New Roman" w:cs="Times New Roman"/>
        </w:rPr>
      </w:pPr>
    </w:p>
    <w:sectPr w:rsidR="0089471A" w:rsidRPr="000A109A" w:rsidSect="008563A0">
      <w:headerReference w:type="default" r:id="rId10"/>
      <w:foot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92F24" w14:textId="77777777" w:rsidR="002F4820" w:rsidRDefault="002F4820" w:rsidP="003F5D81">
      <w:pPr>
        <w:spacing w:after="0" w:line="240" w:lineRule="auto"/>
      </w:pPr>
      <w:r>
        <w:separator/>
      </w:r>
    </w:p>
  </w:endnote>
  <w:endnote w:type="continuationSeparator" w:id="0">
    <w:p w14:paraId="201AF172" w14:textId="77777777" w:rsidR="002F4820" w:rsidRDefault="002F4820" w:rsidP="003F5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2141147559"/>
      <w:docPartObj>
        <w:docPartGallery w:val="Page Numbers (Bottom of Page)"/>
        <w:docPartUnique/>
      </w:docPartObj>
    </w:sdtPr>
    <w:sdtEndPr>
      <w:rPr>
        <w:noProof/>
      </w:rPr>
    </w:sdtEndPr>
    <w:sdtContent>
      <w:p w14:paraId="099BF7C4" w14:textId="32475D71" w:rsidR="005C16B8" w:rsidRPr="005C16B8" w:rsidRDefault="005C16B8">
        <w:pPr>
          <w:pStyle w:val="Footer"/>
          <w:jc w:val="center"/>
          <w:rPr>
            <w:rFonts w:ascii="Times New Roman" w:hAnsi="Times New Roman" w:cs="Times New Roman"/>
            <w:sz w:val="24"/>
          </w:rPr>
        </w:pPr>
        <w:r w:rsidRPr="005C16B8">
          <w:rPr>
            <w:rFonts w:ascii="Times New Roman" w:hAnsi="Times New Roman" w:cs="Times New Roman"/>
            <w:sz w:val="24"/>
          </w:rPr>
          <w:fldChar w:fldCharType="begin"/>
        </w:r>
        <w:r w:rsidRPr="005C16B8">
          <w:rPr>
            <w:rFonts w:ascii="Times New Roman" w:hAnsi="Times New Roman" w:cs="Times New Roman"/>
            <w:sz w:val="24"/>
          </w:rPr>
          <w:instrText xml:space="preserve"> PAGE   \* MERGEFORMAT </w:instrText>
        </w:r>
        <w:r w:rsidRPr="005C16B8">
          <w:rPr>
            <w:rFonts w:ascii="Times New Roman" w:hAnsi="Times New Roman" w:cs="Times New Roman"/>
            <w:sz w:val="24"/>
          </w:rPr>
          <w:fldChar w:fldCharType="separate"/>
        </w:r>
        <w:r w:rsidR="00AF7393">
          <w:rPr>
            <w:rFonts w:ascii="Times New Roman" w:hAnsi="Times New Roman" w:cs="Times New Roman"/>
            <w:noProof/>
            <w:sz w:val="24"/>
          </w:rPr>
          <w:t>1</w:t>
        </w:r>
        <w:r w:rsidRPr="005C16B8">
          <w:rPr>
            <w:rFonts w:ascii="Times New Roman" w:hAnsi="Times New Roman" w:cs="Times New Roman"/>
            <w:noProof/>
            <w:sz w:val="24"/>
          </w:rPr>
          <w:fldChar w:fldCharType="end"/>
        </w:r>
      </w:p>
    </w:sdtContent>
  </w:sdt>
  <w:p w14:paraId="34E42B6F" w14:textId="77777777" w:rsidR="005C16B8" w:rsidRPr="005C16B8" w:rsidRDefault="005C16B8">
    <w:pPr>
      <w:pStyle w:val="Footer"/>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2BED8" w14:textId="77777777" w:rsidR="002F4820" w:rsidRDefault="002F4820" w:rsidP="003F5D81">
      <w:pPr>
        <w:spacing w:after="0" w:line="240" w:lineRule="auto"/>
      </w:pPr>
      <w:r>
        <w:separator/>
      </w:r>
    </w:p>
  </w:footnote>
  <w:footnote w:type="continuationSeparator" w:id="0">
    <w:p w14:paraId="70B36A6F" w14:textId="77777777" w:rsidR="002F4820" w:rsidRDefault="002F4820" w:rsidP="003F5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0AD32" w14:textId="3AF33064" w:rsidR="003F5D81" w:rsidRPr="005C16B8" w:rsidRDefault="005C16B8">
    <w:pPr>
      <w:pStyle w:val="Header"/>
      <w:rPr>
        <w:i/>
      </w:rPr>
    </w:pPr>
    <w:r>
      <w:tab/>
    </w:r>
    <w:r>
      <w:tab/>
    </w:r>
    <w:r w:rsidRPr="005C16B8">
      <w:rPr>
        <w:rFonts w:ascii="Times New Roman" w:hAnsi="Times New Roman" w:cs="Times New Roman"/>
        <w:i/>
        <w:sz w:val="24"/>
        <w:szCs w:val="24"/>
      </w:rPr>
      <w:t xml:space="preserve">Issued on </w:t>
    </w:r>
    <w:r w:rsidR="008563A0">
      <w:rPr>
        <w:rFonts w:ascii="Times New Roman" w:hAnsi="Times New Roman" w:cs="Times New Roman"/>
        <w:i/>
        <w:sz w:val="24"/>
        <w:szCs w:val="24"/>
      </w:rPr>
      <w:t xml:space="preserve">November </w:t>
    </w:r>
    <w:r w:rsidR="00640E2E">
      <w:rPr>
        <w:rFonts w:ascii="Times New Roman" w:hAnsi="Times New Roman" w:cs="Times New Roman"/>
        <w:i/>
        <w:sz w:val="24"/>
        <w:szCs w:val="24"/>
      </w:rPr>
      <w:t>18</w:t>
    </w:r>
    <w:r w:rsidR="005D5B23">
      <w:rPr>
        <w:rFonts w:ascii="Times New Roman" w:hAnsi="Times New Roman" w:cs="Times New Roman"/>
        <w:i/>
        <w:sz w:val="24"/>
        <w:szCs w:val="24"/>
      </w:rPr>
      <w:t>,</w:t>
    </w:r>
    <w:r w:rsidRPr="005C16B8">
      <w:rPr>
        <w:rFonts w:ascii="Times New Roman" w:hAnsi="Times New Roman" w:cs="Times New Roman"/>
        <w:i/>
        <w:sz w:val="24"/>
        <w:szCs w:val="24"/>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746"/>
    <w:multiLevelType w:val="multilevel"/>
    <w:tmpl w:val="FA8A48E8"/>
    <w:lvl w:ilvl="0">
      <w:start w:val="1"/>
      <w:numFmt w:val="bullet"/>
      <w:pStyle w:val="BulletPoint"/>
      <w:lvlText w:val=""/>
      <w:lvlJc w:val="left"/>
      <w:pPr>
        <w:tabs>
          <w:tab w:val="num" w:pos="720"/>
        </w:tabs>
        <w:ind w:left="720" w:hanging="720"/>
      </w:pPr>
      <w:rPr>
        <w:rFonts w:ascii="Symbol" w:hAnsi="Symbol" w:hint="default"/>
        <w:sz w:val="20"/>
        <w:szCs w:val="20"/>
      </w:rPr>
    </w:lvl>
    <w:lvl w:ilvl="1">
      <w:start w:val="1"/>
      <w:numFmt w:val="bullet"/>
      <w:pStyle w:val="BulletPoint2"/>
      <w:lvlText w:val=""/>
      <w:lvlJc w:val="left"/>
      <w:pPr>
        <w:tabs>
          <w:tab w:val="num" w:pos="1440"/>
        </w:tabs>
        <w:ind w:left="1440" w:hanging="720"/>
      </w:pPr>
      <w:rPr>
        <w:rFonts w:ascii="Symbol" w:hAnsi="Symbol" w:hint="default"/>
        <w:sz w:val="20"/>
        <w:szCs w:val="20"/>
      </w:rPr>
    </w:lvl>
    <w:lvl w:ilvl="2">
      <w:start w:val="1"/>
      <w:numFmt w:val="bullet"/>
      <w:pStyle w:val="BulletPoint3"/>
      <w:lvlText w:val=""/>
      <w:lvlJc w:val="left"/>
      <w:pPr>
        <w:tabs>
          <w:tab w:val="num" w:pos="2160"/>
        </w:tabs>
        <w:ind w:left="2160" w:hanging="720"/>
      </w:pPr>
      <w:rPr>
        <w:rFonts w:ascii="Symbol" w:hAnsi="Symbol" w:hint="default"/>
      </w:rPr>
    </w:lvl>
    <w:lvl w:ilvl="3">
      <w:start w:val="1"/>
      <w:numFmt w:val="bullet"/>
      <w:pStyle w:val="BulletPoint4"/>
      <w:lvlText w:val=""/>
      <w:lvlJc w:val="left"/>
      <w:pPr>
        <w:tabs>
          <w:tab w:val="num" w:pos="2880"/>
        </w:tabs>
        <w:ind w:left="2880" w:hanging="720"/>
      </w:pPr>
      <w:rPr>
        <w:rFonts w:ascii="Symbol" w:hAnsi="Symbol" w:hint="default"/>
      </w:rPr>
    </w:lvl>
    <w:lvl w:ilvl="4">
      <w:start w:val="1"/>
      <w:numFmt w:val="bullet"/>
      <w:pStyle w:val="BulletPoint5"/>
      <w:lvlText w:val=""/>
      <w:lvlJc w:val="left"/>
      <w:pPr>
        <w:tabs>
          <w:tab w:val="num" w:pos="3600"/>
        </w:tabs>
        <w:ind w:left="3600" w:hanging="720"/>
      </w:pPr>
      <w:rPr>
        <w:rFonts w:ascii="Symbol" w:hAnsi="Symbol" w:hint="default"/>
      </w:rPr>
    </w:lvl>
    <w:lvl w:ilvl="5">
      <w:start w:val="1"/>
      <w:numFmt w:val="bullet"/>
      <w:pStyle w:val="BulletPoint6"/>
      <w:lvlText w:val=""/>
      <w:lvlJc w:val="left"/>
      <w:pPr>
        <w:tabs>
          <w:tab w:val="num" w:pos="4320"/>
        </w:tabs>
        <w:ind w:left="4320" w:hanging="720"/>
      </w:pPr>
      <w:rPr>
        <w:rFonts w:ascii="Symbol" w:hAnsi="Symbol" w:hint="default"/>
      </w:rPr>
    </w:lvl>
    <w:lvl w:ilvl="6">
      <w:start w:val="1"/>
      <w:numFmt w:val="bullet"/>
      <w:pStyle w:val="BulletPoint7"/>
      <w:lvlText w:val=""/>
      <w:lvlJc w:val="left"/>
      <w:pPr>
        <w:tabs>
          <w:tab w:val="num" w:pos="5040"/>
        </w:tabs>
        <w:ind w:left="5040" w:hanging="720"/>
      </w:pPr>
      <w:rPr>
        <w:rFonts w:ascii="Symbol" w:hAnsi="Symbol" w:hint="default"/>
      </w:rPr>
    </w:lvl>
    <w:lvl w:ilvl="7">
      <w:start w:val="1"/>
      <w:numFmt w:val="bullet"/>
      <w:pStyle w:val="BulletPoint8"/>
      <w:lvlText w:val=""/>
      <w:lvlJc w:val="left"/>
      <w:pPr>
        <w:tabs>
          <w:tab w:val="num" w:pos="5760"/>
        </w:tabs>
        <w:ind w:left="5760" w:hanging="720"/>
      </w:pPr>
      <w:rPr>
        <w:rFonts w:ascii="Symbol" w:hAnsi="Symbol" w:hint="default"/>
      </w:rPr>
    </w:lvl>
    <w:lvl w:ilvl="8">
      <w:start w:val="1"/>
      <w:numFmt w:val="bullet"/>
      <w:pStyle w:val="BulletPoint9"/>
      <w:lvlText w:val=""/>
      <w:lvlJc w:val="left"/>
      <w:pPr>
        <w:tabs>
          <w:tab w:val="num" w:pos="6480"/>
        </w:tabs>
        <w:ind w:left="6480" w:hanging="720"/>
      </w:pPr>
      <w:rPr>
        <w:rFonts w:ascii="Symbol" w:hAnsi="Symbol" w:hint="default"/>
      </w:rPr>
    </w:lvl>
  </w:abstractNum>
  <w:abstractNum w:abstractNumId="1" w15:restartNumberingAfterBreak="0">
    <w:nsid w:val="2E5A7DFF"/>
    <w:multiLevelType w:val="hybridMultilevel"/>
    <w:tmpl w:val="EADC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024BDF"/>
    <w:multiLevelType w:val="hybridMultilevel"/>
    <w:tmpl w:val="32987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4765F0"/>
    <w:multiLevelType w:val="hybridMultilevel"/>
    <w:tmpl w:val="0AACCCA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B8D"/>
    <w:rsid w:val="00041563"/>
    <w:rsid w:val="000A109A"/>
    <w:rsid w:val="000B76CE"/>
    <w:rsid w:val="000E208F"/>
    <w:rsid w:val="000E7905"/>
    <w:rsid w:val="00116DC5"/>
    <w:rsid w:val="00144CF7"/>
    <w:rsid w:val="00173D51"/>
    <w:rsid w:val="00232720"/>
    <w:rsid w:val="002730E3"/>
    <w:rsid w:val="00291A74"/>
    <w:rsid w:val="00292F77"/>
    <w:rsid w:val="002E4AF5"/>
    <w:rsid w:val="002F4820"/>
    <w:rsid w:val="00356966"/>
    <w:rsid w:val="003F5D81"/>
    <w:rsid w:val="00411AD3"/>
    <w:rsid w:val="004D321A"/>
    <w:rsid w:val="004D55A3"/>
    <w:rsid w:val="004E7482"/>
    <w:rsid w:val="00502701"/>
    <w:rsid w:val="00591954"/>
    <w:rsid w:val="005B4F52"/>
    <w:rsid w:val="005C16B8"/>
    <w:rsid w:val="005C619D"/>
    <w:rsid w:val="005D5B23"/>
    <w:rsid w:val="00616CF3"/>
    <w:rsid w:val="00624495"/>
    <w:rsid w:val="006405CE"/>
    <w:rsid w:val="00640E2E"/>
    <w:rsid w:val="00657CD4"/>
    <w:rsid w:val="00691A6B"/>
    <w:rsid w:val="006C3D0F"/>
    <w:rsid w:val="006F4D6B"/>
    <w:rsid w:val="00700102"/>
    <w:rsid w:val="007B1B3C"/>
    <w:rsid w:val="00854E54"/>
    <w:rsid w:val="008563A0"/>
    <w:rsid w:val="00872B53"/>
    <w:rsid w:val="0089471A"/>
    <w:rsid w:val="008D51AA"/>
    <w:rsid w:val="008E1A18"/>
    <w:rsid w:val="0092744B"/>
    <w:rsid w:val="00951BC1"/>
    <w:rsid w:val="009613A0"/>
    <w:rsid w:val="00A21968"/>
    <w:rsid w:val="00A30B58"/>
    <w:rsid w:val="00A52DC8"/>
    <w:rsid w:val="00A6441D"/>
    <w:rsid w:val="00A77175"/>
    <w:rsid w:val="00AB4DB2"/>
    <w:rsid w:val="00AC7700"/>
    <w:rsid w:val="00AF7393"/>
    <w:rsid w:val="00B14B8D"/>
    <w:rsid w:val="00B720F7"/>
    <w:rsid w:val="00B8559E"/>
    <w:rsid w:val="00B871C2"/>
    <w:rsid w:val="00BC3B65"/>
    <w:rsid w:val="00BF5C7F"/>
    <w:rsid w:val="00C334DF"/>
    <w:rsid w:val="00D25F34"/>
    <w:rsid w:val="00D500FC"/>
    <w:rsid w:val="00D64E40"/>
    <w:rsid w:val="00D7303F"/>
    <w:rsid w:val="00D93446"/>
    <w:rsid w:val="00E26BE9"/>
    <w:rsid w:val="00E876D5"/>
    <w:rsid w:val="00EA1764"/>
    <w:rsid w:val="00F40350"/>
    <w:rsid w:val="00F5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485E25"/>
  <w15:chartTrackingRefBased/>
  <w15:docId w15:val="{710C4358-4D87-4763-A7C2-0071DEC5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700"/>
    <w:rPr>
      <w:color w:val="0563C1" w:themeColor="hyperlink"/>
      <w:u w:val="single"/>
    </w:rPr>
  </w:style>
  <w:style w:type="paragraph" w:styleId="ListParagraph">
    <w:name w:val="List Paragraph"/>
    <w:basedOn w:val="Normal"/>
    <w:uiPriority w:val="34"/>
    <w:qFormat/>
    <w:rsid w:val="004D321A"/>
    <w:pPr>
      <w:ind w:left="720"/>
      <w:contextualSpacing/>
    </w:pPr>
  </w:style>
  <w:style w:type="paragraph" w:styleId="Header">
    <w:name w:val="header"/>
    <w:basedOn w:val="Normal"/>
    <w:link w:val="HeaderChar"/>
    <w:uiPriority w:val="99"/>
    <w:unhideWhenUsed/>
    <w:rsid w:val="003F5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81"/>
  </w:style>
  <w:style w:type="paragraph" w:styleId="Footer">
    <w:name w:val="footer"/>
    <w:basedOn w:val="Normal"/>
    <w:link w:val="FooterChar"/>
    <w:uiPriority w:val="99"/>
    <w:unhideWhenUsed/>
    <w:rsid w:val="003F5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D81"/>
  </w:style>
  <w:style w:type="paragraph" w:styleId="BalloonText">
    <w:name w:val="Balloon Text"/>
    <w:basedOn w:val="Normal"/>
    <w:link w:val="BalloonTextChar"/>
    <w:uiPriority w:val="99"/>
    <w:semiHidden/>
    <w:unhideWhenUsed/>
    <w:rsid w:val="00D64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E40"/>
    <w:rPr>
      <w:rFonts w:ascii="Segoe UI" w:hAnsi="Segoe UI" w:cs="Segoe UI"/>
      <w:sz w:val="18"/>
      <w:szCs w:val="18"/>
    </w:rPr>
  </w:style>
  <w:style w:type="character" w:styleId="CommentReference">
    <w:name w:val="annotation reference"/>
    <w:basedOn w:val="DefaultParagraphFont"/>
    <w:uiPriority w:val="99"/>
    <w:semiHidden/>
    <w:unhideWhenUsed/>
    <w:rsid w:val="00D64E40"/>
    <w:rPr>
      <w:sz w:val="16"/>
      <w:szCs w:val="16"/>
    </w:rPr>
  </w:style>
  <w:style w:type="paragraph" w:styleId="CommentText">
    <w:name w:val="annotation text"/>
    <w:basedOn w:val="Normal"/>
    <w:link w:val="CommentTextChar"/>
    <w:uiPriority w:val="99"/>
    <w:semiHidden/>
    <w:unhideWhenUsed/>
    <w:rsid w:val="00D64E40"/>
    <w:pPr>
      <w:spacing w:line="240" w:lineRule="auto"/>
    </w:pPr>
    <w:rPr>
      <w:sz w:val="20"/>
      <w:szCs w:val="20"/>
    </w:rPr>
  </w:style>
  <w:style w:type="character" w:customStyle="1" w:styleId="CommentTextChar">
    <w:name w:val="Comment Text Char"/>
    <w:basedOn w:val="DefaultParagraphFont"/>
    <w:link w:val="CommentText"/>
    <w:uiPriority w:val="99"/>
    <w:semiHidden/>
    <w:rsid w:val="00D64E40"/>
    <w:rPr>
      <w:sz w:val="20"/>
      <w:szCs w:val="20"/>
    </w:rPr>
  </w:style>
  <w:style w:type="paragraph" w:styleId="CommentSubject">
    <w:name w:val="annotation subject"/>
    <w:basedOn w:val="CommentText"/>
    <w:next w:val="CommentText"/>
    <w:link w:val="CommentSubjectChar"/>
    <w:uiPriority w:val="99"/>
    <w:semiHidden/>
    <w:unhideWhenUsed/>
    <w:rsid w:val="00D64E40"/>
    <w:rPr>
      <w:b/>
      <w:bCs/>
    </w:rPr>
  </w:style>
  <w:style w:type="character" w:customStyle="1" w:styleId="CommentSubjectChar">
    <w:name w:val="Comment Subject Char"/>
    <w:basedOn w:val="CommentTextChar"/>
    <w:link w:val="CommentSubject"/>
    <w:uiPriority w:val="99"/>
    <w:semiHidden/>
    <w:rsid w:val="00D64E40"/>
    <w:rPr>
      <w:b/>
      <w:bCs/>
      <w:sz w:val="20"/>
      <w:szCs w:val="20"/>
    </w:rPr>
  </w:style>
  <w:style w:type="paragraph" w:customStyle="1" w:styleId="BulletPoint">
    <w:name w:val="Bullet Point"/>
    <w:basedOn w:val="Normal"/>
    <w:qFormat/>
    <w:rsid w:val="00A21968"/>
    <w:pPr>
      <w:numPr>
        <w:numId w:val="4"/>
      </w:numPr>
      <w:spacing w:before="240" w:after="0" w:line="240" w:lineRule="auto"/>
      <w:jc w:val="both"/>
    </w:pPr>
    <w:rPr>
      <w:rFonts w:ascii="Times New Roman" w:eastAsia="Times New Roman" w:hAnsi="Times New Roman" w:cs="Times New Roman"/>
      <w:sz w:val="24"/>
      <w:szCs w:val="20"/>
    </w:rPr>
  </w:style>
  <w:style w:type="paragraph" w:customStyle="1" w:styleId="BulletPoint2">
    <w:name w:val="Bullet Point 2"/>
    <w:basedOn w:val="BulletPoint"/>
    <w:rsid w:val="00A21968"/>
    <w:pPr>
      <w:numPr>
        <w:ilvl w:val="1"/>
      </w:numPr>
    </w:pPr>
  </w:style>
  <w:style w:type="paragraph" w:customStyle="1" w:styleId="BulletPoint3">
    <w:name w:val="Bullet Point 3"/>
    <w:basedOn w:val="BulletPoint"/>
    <w:rsid w:val="00A21968"/>
    <w:pPr>
      <w:numPr>
        <w:ilvl w:val="2"/>
      </w:numPr>
    </w:pPr>
  </w:style>
  <w:style w:type="paragraph" w:customStyle="1" w:styleId="BulletPoint4">
    <w:name w:val="Bullet Point 4"/>
    <w:basedOn w:val="BulletPoint"/>
    <w:rsid w:val="00A21968"/>
    <w:pPr>
      <w:numPr>
        <w:ilvl w:val="3"/>
      </w:numPr>
    </w:pPr>
  </w:style>
  <w:style w:type="paragraph" w:customStyle="1" w:styleId="BulletPoint5">
    <w:name w:val="Bullet Point 5"/>
    <w:basedOn w:val="BulletPoint"/>
    <w:rsid w:val="00A21968"/>
    <w:pPr>
      <w:numPr>
        <w:ilvl w:val="4"/>
      </w:numPr>
    </w:pPr>
  </w:style>
  <w:style w:type="paragraph" w:customStyle="1" w:styleId="BulletPoint6">
    <w:name w:val="Bullet Point 6"/>
    <w:basedOn w:val="BulletPoint"/>
    <w:rsid w:val="00A21968"/>
    <w:pPr>
      <w:numPr>
        <w:ilvl w:val="5"/>
      </w:numPr>
    </w:pPr>
  </w:style>
  <w:style w:type="paragraph" w:customStyle="1" w:styleId="BulletPoint7">
    <w:name w:val="Bullet Point 7"/>
    <w:basedOn w:val="BulletPoint"/>
    <w:rsid w:val="00A21968"/>
    <w:pPr>
      <w:numPr>
        <w:ilvl w:val="6"/>
      </w:numPr>
    </w:pPr>
  </w:style>
  <w:style w:type="paragraph" w:customStyle="1" w:styleId="BulletPoint8">
    <w:name w:val="Bullet Point 8"/>
    <w:basedOn w:val="BulletPoint"/>
    <w:rsid w:val="00A21968"/>
    <w:pPr>
      <w:numPr>
        <w:ilvl w:val="7"/>
      </w:numPr>
    </w:pPr>
  </w:style>
  <w:style w:type="paragraph" w:customStyle="1" w:styleId="BulletPoint9">
    <w:name w:val="Bullet Point 9"/>
    <w:basedOn w:val="BulletPoint"/>
    <w:rsid w:val="00A21968"/>
    <w:pPr>
      <w:numPr>
        <w:ilvl w:val="8"/>
      </w:numPr>
    </w:pPr>
  </w:style>
  <w:style w:type="table" w:styleId="TableGrid">
    <w:name w:val="Table Grid"/>
    <w:basedOn w:val="TableNormal"/>
    <w:uiPriority w:val="39"/>
    <w:rsid w:val="00A21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21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1968"/>
    <w:rPr>
      <w:sz w:val="20"/>
      <w:szCs w:val="20"/>
    </w:rPr>
  </w:style>
  <w:style w:type="character" w:styleId="FootnoteReference">
    <w:name w:val="footnote reference"/>
    <w:basedOn w:val="DefaultParagraphFont"/>
    <w:uiPriority w:val="99"/>
    <w:semiHidden/>
    <w:unhideWhenUsed/>
    <w:rsid w:val="00A21968"/>
    <w:rPr>
      <w:vertAlign w:val="superscript"/>
    </w:rPr>
  </w:style>
  <w:style w:type="paragraph" w:styleId="Revision">
    <w:name w:val="Revision"/>
    <w:hidden/>
    <w:uiPriority w:val="99"/>
    <w:semiHidden/>
    <w:rsid w:val="007B1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nderinquiry@mainstreetlendingadm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45D66-6AC2-4A8B-A286-60302C2C1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1229</Words>
  <Characters>7006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Federal Reserve System</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 Scott</dc:creator>
  <cp:keywords/>
  <dc:description/>
  <cp:lastModifiedBy>Cipullo, Edward L</cp:lastModifiedBy>
  <cp:revision>2</cp:revision>
  <cp:lastPrinted>2020-10-06T13:58:00Z</cp:lastPrinted>
  <dcterms:created xsi:type="dcterms:W3CDTF">2020-11-18T17:55:00Z</dcterms:created>
  <dcterms:modified xsi:type="dcterms:W3CDTF">2020-11-18T17:55:00Z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8a209c3e-e08a-4f69-86df-1c8735dfd702</vt:lpwstr>
  </property>
</Properties>
</file>